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פני</w:t>
            </w:r>
            <w:r w:rsidR="00A41FC0">
              <w:rPr>
                <w:rFonts w:hint="cs"/>
                <w:b/>
                <w:bCs/>
                <w:sz w:val="26"/>
                <w:szCs w:val="26"/>
                <w:rtl/>
              </w:rPr>
              <w:t>:</w:t>
            </w:r>
            <w:r w:rsidR="006816EC" w:rsidRPr="00CD0055">
              <w:rPr>
                <w:rFonts w:hint="cs"/>
                <w:b/>
                <w:bCs/>
                <w:sz w:val="26"/>
                <w:szCs w:val="26"/>
                <w:rtl/>
              </w:rPr>
              <w:t xml:space="preserve">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שופטת</w:t>
                </w:r>
              </w:sdtContent>
            </w:sdt>
            <w:r w:rsidR="00FD637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מיכל אגמון-גונן</w:t>
                </w:r>
              </w:sdtContent>
            </w:sdt>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7D5BE3" w:rsidRDefault="00A41FC0">
                <w:pPr>
                  <w:rPr>
                    <w:rFonts w:ascii="Arial (W1)" w:hAnsi="Arial (W1)"/>
                    <w:b/>
                    <w:bCs/>
                    <w:noProof w:val="0"/>
                    <w:sz w:val="26"/>
                    <w:szCs w:val="26"/>
                  </w:rPr>
                </w:pPr>
                <w:r>
                  <w:rPr>
                    <w:rFonts w:hint="cs"/>
                    <w:b/>
                    <w:bCs/>
                    <w:noProof w:val="0"/>
                    <w:sz w:val="26"/>
                    <w:szCs w:val="26"/>
                    <w:rtl/>
                  </w:rPr>
                  <w:t>ה</w:t>
                </w:r>
                <w:r w:rsidR="00E32EDA">
                  <w:rPr>
                    <w:rFonts w:hint="cs"/>
                    <w:b/>
                    <w:bCs/>
                    <w:noProof w:val="0"/>
                    <w:sz w:val="26"/>
                    <w:szCs w:val="26"/>
                    <w:rtl/>
                  </w:rPr>
                  <w:t>מערערים</w:t>
                </w:r>
                <w:r>
                  <w:rPr>
                    <w:rFonts w:hint="cs"/>
                    <w:b/>
                    <w:bCs/>
                    <w:noProof w:val="0"/>
                    <w:sz w:val="26"/>
                    <w:szCs w:val="26"/>
                    <w:rtl/>
                  </w:rPr>
                  <w:t>:</w:t>
                </w:r>
              </w:p>
            </w:sdtContent>
          </w:sdt>
        </w:tc>
        <w:tc>
          <w:tcPr>
            <w:tcW w:w="5571" w:type="dxa"/>
          </w:tcPr>
          <w:p w:rsidR="006816EC" w:rsidRPr="00CD0055" w:rsidRDefault="006816EC">
            <w:pPr>
              <w:rPr>
                <w:rFonts w:ascii="Arial (W1)" w:hAnsi="Arial (W1)"/>
                <w:b/>
                <w:bCs/>
                <w:noProof w:val="0"/>
                <w:sz w:val="26"/>
                <w:szCs w:val="26"/>
                <w:rtl/>
              </w:rPr>
            </w:pPr>
          </w:p>
          <w:p w:rsidR="00295DD1" w:rsidRPr="00A41FC0" w:rsidRDefault="00E84D67">
            <w:pPr>
              <w:rPr>
                <w:b/>
                <w:bCs/>
                <w:sz w:val="26"/>
                <w:szCs w:val="26"/>
                <w:rtl/>
              </w:rPr>
            </w:pPr>
            <w:sdt>
              <w:sdtPr>
                <w:rPr>
                  <w:rFonts w:hint="cs"/>
                  <w:sz w:val="26"/>
                  <w:szCs w:val="26"/>
                  <w:rtl/>
                </w:rPr>
                <w:alias w:val="1462"/>
                <w:tag w:val="1462"/>
                <w:id w:val="-1143353124"/>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b/>
                  <w:bCs/>
                  <w:sz w:val="26"/>
                  <w:szCs w:val="26"/>
                  <w:rtl/>
                </w:rPr>
                <w:alias w:val="1478"/>
                <w:tag w:val="1478"/>
                <w:id w:val="160126198"/>
                <w:text w:multiLine="1"/>
              </w:sdtPr>
              <w:sdtEndPr/>
              <w:sdtContent>
                <w:r w:rsidR="00A41FC0" w:rsidRPr="00A41FC0">
                  <w:rPr>
                    <w:b/>
                    <w:bCs/>
                    <w:sz w:val="26"/>
                    <w:szCs w:val="26"/>
                  </w:rPr>
                  <w:t>Ilona Muzyehuk</w:t>
                </w:r>
              </w:sdtContent>
            </w:sdt>
          </w:p>
          <w:p w:rsidR="00295DD1" w:rsidRDefault="00E84D67">
            <w:pPr>
              <w:rPr>
                <w:sz w:val="26"/>
                <w:szCs w:val="26"/>
                <w:rtl/>
              </w:rPr>
            </w:pPr>
            <w:sdt>
              <w:sdtPr>
                <w:rPr>
                  <w:rFonts w:hint="cs"/>
                  <w:b/>
                  <w:bCs/>
                  <w:sz w:val="26"/>
                  <w:szCs w:val="26"/>
                  <w:rtl/>
                </w:rPr>
                <w:alias w:val="1462"/>
                <w:tag w:val="1462"/>
                <w:id w:val="-1844770470"/>
                <w:text w:multiLine="1"/>
              </w:sdtPr>
              <w:sdtEndPr/>
              <w:sdtContent>
                <w:r w:rsidR="006B5553" w:rsidRPr="00A41FC0">
                  <w:rPr>
                    <w:rFonts w:hint="cs"/>
                    <w:b/>
                    <w:bCs/>
                    <w:noProof w:val="0"/>
                    <w:sz w:val="26"/>
                    <w:szCs w:val="26"/>
                    <w:rtl/>
                  </w:rPr>
                  <w:t>2</w:t>
                </w:r>
              </w:sdtContent>
            </w:sdt>
            <w:r w:rsidR="006816EC" w:rsidRPr="00A41FC0">
              <w:rPr>
                <w:rFonts w:hint="cs"/>
                <w:b/>
                <w:bCs/>
                <w:noProof w:val="0"/>
                <w:sz w:val="26"/>
                <w:szCs w:val="26"/>
                <w:rtl/>
              </w:rPr>
              <w:t>.</w:t>
            </w:r>
            <w:sdt>
              <w:sdtPr>
                <w:rPr>
                  <w:rFonts w:hint="cs"/>
                  <w:b/>
                  <w:bCs/>
                  <w:sz w:val="26"/>
                  <w:szCs w:val="26"/>
                  <w:rtl/>
                </w:rPr>
                <w:alias w:val="1478"/>
                <w:tag w:val="1478"/>
                <w:id w:val="-1764763952"/>
                <w:text w:multiLine="1"/>
              </w:sdtPr>
              <w:sdtEndPr/>
              <w:sdtContent>
                <w:r w:rsidR="00A41FC0" w:rsidRPr="00A41FC0">
                  <w:rPr>
                    <w:b/>
                    <w:bCs/>
                    <w:sz w:val="26"/>
                    <w:szCs w:val="26"/>
                  </w:rPr>
                  <w:t>Mykhailo Muzychuk</w:t>
                </w:r>
              </w:sdtContent>
            </w:sdt>
          </w:p>
          <w:p w:rsidR="006816EC" w:rsidRPr="00CD0055" w:rsidRDefault="00A41FC0">
            <w:pPr>
              <w:rPr>
                <w:rFonts w:ascii="Arial (W1)" w:hAnsi="Arial (W1)"/>
                <w:b/>
                <w:bCs/>
                <w:noProof w:val="0"/>
                <w:sz w:val="26"/>
                <w:szCs w:val="26"/>
              </w:rPr>
            </w:pPr>
            <w:r>
              <w:rPr>
                <w:rtl/>
              </w:rPr>
              <w:t>ע"י ב"כ עוה"ד</w:t>
            </w:r>
            <w:r>
              <w:rPr>
                <w:noProof w:val="0"/>
                <w:rtl/>
              </w:rPr>
              <w:t xml:space="preserve"> אסף וייצן ונועם גרינצייג ממשרד תומר ורשה – עורכי דין</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E84D67" w:rsidP="00A41FC0">
            <w:pPr>
              <w:rPr>
                <w:rFonts w:ascii="Arial (W1)" w:hAnsi="Arial (W1)"/>
                <w:b/>
                <w:bCs/>
                <w:noProof w:val="0"/>
                <w:sz w:val="26"/>
                <w:szCs w:val="26"/>
              </w:rPr>
            </w:pPr>
            <w:sdt>
              <w:sdtPr>
                <w:rPr>
                  <w:rFonts w:hint="cs"/>
                  <w:sz w:val="26"/>
                  <w:szCs w:val="26"/>
                  <w:rtl/>
                </w:rPr>
                <w:alias w:val="1184"/>
                <w:tag w:val="1184"/>
                <w:id w:val="-910234160"/>
                <w:text w:multiLine="1"/>
              </w:sdtPr>
              <w:sdtEndPr/>
              <w:sdtContent>
                <w:r w:rsidR="00A41FC0">
                  <w:rPr>
                    <w:rFonts w:hint="cs"/>
                    <w:b/>
                    <w:bCs/>
                    <w:noProof w:val="0"/>
                    <w:sz w:val="26"/>
                    <w:szCs w:val="26"/>
                    <w:rtl/>
                  </w:rPr>
                  <w:t>ה</w:t>
                </w:r>
                <w:r w:rsidR="006B5553">
                  <w:rPr>
                    <w:rFonts w:hint="cs"/>
                    <w:b/>
                    <w:bCs/>
                    <w:noProof w:val="0"/>
                    <w:sz w:val="26"/>
                    <w:szCs w:val="26"/>
                    <w:rtl/>
                  </w:rPr>
                  <w:t>משיב</w:t>
                </w:r>
                <w:r w:rsidR="00A41FC0">
                  <w:rPr>
                    <w:rFonts w:hint="cs"/>
                    <w:b/>
                    <w:bCs/>
                    <w:noProof w:val="0"/>
                    <w:sz w:val="26"/>
                    <w:szCs w:val="26"/>
                    <w:rtl/>
                  </w:rPr>
                  <w:t>ה:</w:t>
                </w:r>
              </w:sdtContent>
            </w:sdt>
          </w:p>
        </w:tc>
        <w:tc>
          <w:tcPr>
            <w:tcW w:w="5571" w:type="dxa"/>
          </w:tcPr>
          <w:p w:rsidR="00295DD1" w:rsidRDefault="00E84D67" w:rsidP="00A41FC0">
            <w:pPr>
              <w:rPr>
                <w:sz w:val="26"/>
                <w:szCs w:val="26"/>
                <w:rtl/>
              </w:rPr>
            </w:pPr>
            <w:sdt>
              <w:sdtPr>
                <w:rPr>
                  <w:rFonts w:hint="cs"/>
                  <w:sz w:val="26"/>
                  <w:szCs w:val="26"/>
                  <w:rtl/>
                </w:rPr>
                <w:alias w:val="1486"/>
                <w:tag w:val="1486"/>
                <w:id w:val="1487590763"/>
                <w:text w:multiLine="1"/>
              </w:sdtPr>
              <w:sdtEndPr/>
              <w:sdtContent>
                <w:r w:rsidR="006B5553">
                  <w:rPr>
                    <w:rFonts w:hint="cs"/>
                    <w:b/>
                    <w:bCs/>
                    <w:noProof w:val="0"/>
                    <w:sz w:val="26"/>
                    <w:szCs w:val="26"/>
                    <w:rtl/>
                  </w:rPr>
                  <w:t xml:space="preserve">רשות האוכלוסין </w:t>
                </w:r>
                <w:r w:rsidR="00A41FC0">
                  <w:rPr>
                    <w:rFonts w:hint="cs"/>
                    <w:b/>
                    <w:bCs/>
                    <w:noProof w:val="0"/>
                    <w:sz w:val="26"/>
                    <w:szCs w:val="26"/>
                    <w:rtl/>
                  </w:rPr>
                  <w:t>ו</w:t>
                </w:r>
                <w:r w:rsidR="006B5553">
                  <w:rPr>
                    <w:rFonts w:hint="cs"/>
                    <w:b/>
                    <w:bCs/>
                    <w:noProof w:val="0"/>
                    <w:sz w:val="26"/>
                    <w:szCs w:val="26"/>
                    <w:rtl/>
                  </w:rPr>
                  <w:t>ההגירה</w:t>
                </w:r>
                <w:r w:rsidR="00A41FC0">
                  <w:rPr>
                    <w:rFonts w:hint="cs"/>
                    <w:b/>
                    <w:bCs/>
                    <w:noProof w:val="0"/>
                    <w:sz w:val="26"/>
                    <w:szCs w:val="26"/>
                    <w:rtl/>
                  </w:rPr>
                  <w:t>,</w:t>
                </w:r>
                <w:r w:rsidR="006B5553">
                  <w:rPr>
                    <w:rFonts w:hint="cs"/>
                    <w:b/>
                    <w:bCs/>
                    <w:noProof w:val="0"/>
                    <w:sz w:val="26"/>
                    <w:szCs w:val="26"/>
                    <w:rtl/>
                  </w:rPr>
                  <w:t xml:space="preserve"> משרד הפנים</w:t>
                </w:r>
              </w:sdtContent>
            </w:sdt>
          </w:p>
          <w:p w:rsidR="006816EC" w:rsidRPr="00CD0055" w:rsidRDefault="00A41FC0">
            <w:pPr>
              <w:rPr>
                <w:rFonts w:ascii="Arial (W1)" w:hAnsi="Arial (W1)"/>
                <w:b/>
                <w:bCs/>
                <w:noProof w:val="0"/>
                <w:sz w:val="26"/>
                <w:szCs w:val="26"/>
              </w:rPr>
            </w:pPr>
            <w:r>
              <w:rPr>
                <w:rtl/>
              </w:rPr>
              <w:t>ע"י ב"כ עו"ד</w:t>
            </w:r>
            <w:r>
              <w:rPr>
                <w:noProof w:val="0"/>
                <w:rtl/>
              </w:rPr>
              <w:t xml:space="preserve"> דוד מרגליות מפרקליטות מחוז תל אביב (אזרחי)</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A41FC0">
        <w:trPr>
          <w:jc w:val="center"/>
        </w:trPr>
        <w:tc>
          <w:tcPr>
            <w:tcW w:w="8820" w:type="dxa"/>
          </w:tcPr>
          <w:p w:rsidR="00694556" w:rsidRPr="00E17141" w:rsidRDefault="00005C8B">
            <w:pPr>
              <w:bidi w:val="0"/>
              <w:jc w:val="center"/>
              <w:rPr>
                <w:rFonts w:ascii="Arial" w:hAnsi="Arial"/>
                <w:b/>
                <w:bCs/>
                <w:noProof w:val="0"/>
                <w:sz w:val="28"/>
                <w:szCs w:val="28"/>
                <w:u w:val="single"/>
                <w:rtl/>
              </w:rPr>
            </w:pPr>
            <w:r w:rsidRPr="00E17141">
              <w:rPr>
                <w:rFonts w:ascii="Arial" w:hAnsi="Arial"/>
                <w:b/>
                <w:bCs/>
                <w:noProof w:val="0"/>
                <w:sz w:val="28"/>
                <w:szCs w:val="28"/>
                <w:u w:val="single"/>
                <w:rtl/>
              </w:rPr>
              <w:t>פסק דין</w:t>
            </w:r>
          </w:p>
          <w:p w:rsidR="00A41FC0" w:rsidRDefault="00A41FC0" w:rsidP="00A41FC0">
            <w:pPr>
              <w:bidi w:val="0"/>
              <w:jc w:val="center"/>
              <w:rPr>
                <w:rFonts w:ascii="Arial" w:hAnsi="Arial"/>
                <w:noProof w:val="0"/>
                <w:sz w:val="28"/>
                <w:szCs w:val="28"/>
                <w:u w:val="single"/>
                <w:rtl/>
              </w:rPr>
            </w:pPr>
          </w:p>
          <w:p w:rsidR="00E17141" w:rsidRPr="00A41FC0" w:rsidRDefault="00E17141" w:rsidP="00E17141">
            <w:pPr>
              <w:ind w:left="4478"/>
              <w:contextualSpacing/>
              <w:jc w:val="both"/>
              <w:rPr>
                <w:rFonts w:eastAsia="Calibri"/>
                <w:b/>
                <w:bCs/>
                <w:rtl/>
              </w:rPr>
            </w:pPr>
            <w:r w:rsidRPr="00A41FC0">
              <w:rPr>
                <w:rFonts w:eastAsia="Calibri"/>
                <w:b/>
                <w:bCs/>
                <w:rtl/>
              </w:rPr>
              <w:t>"כל חדירה לטלפון סלולרי המשמש לצרכיו האישיים של אדם – פוגעת באופן חמור ביותר בפרטיותו, ולפיכך יש צורך לקבל מראש צו שיפוטי לצורך זה, .....ההגבלות הללו מלמדות עד כמה פוגענית והרסנית היא החדירה מבלי שהתקבל צו שיפוטי ...כאשר החוקרים יכולים לכאורה לשוטט בטלפון הסלולרי כאוות נפשם ולשאוב ממנו חומרים ללא הגבלה"</w:t>
            </w:r>
          </w:p>
          <w:p w:rsidR="00E17141" w:rsidRPr="001B239B" w:rsidRDefault="00E17141" w:rsidP="00E17141">
            <w:pPr>
              <w:ind w:left="4478"/>
              <w:contextualSpacing/>
              <w:jc w:val="both"/>
              <w:rPr>
                <w:rFonts w:eastAsia="Calibri"/>
                <w:sz w:val="22"/>
                <w:szCs w:val="22"/>
                <w:rtl/>
              </w:rPr>
            </w:pPr>
            <w:r w:rsidRPr="00A41FC0">
              <w:rPr>
                <w:rFonts w:eastAsia="Calibri"/>
                <w:sz w:val="22"/>
                <w:szCs w:val="22"/>
                <w:rtl/>
              </w:rPr>
              <w:t xml:space="preserve">המשנה לנשיאה חנן מלצר </w:t>
            </w:r>
            <w:r w:rsidRPr="001B239B">
              <w:rPr>
                <w:rFonts w:eastAsia="Calibri"/>
                <w:sz w:val="22"/>
                <w:szCs w:val="22"/>
                <w:rtl/>
              </w:rPr>
              <w:t>בבש"פ 1758/20 יונתן אוריך נ' מדינת ישראל (נבו, 26.01.2021)</w:t>
            </w:r>
          </w:p>
          <w:p w:rsidR="00A41FC0" w:rsidRPr="00A41FC0" w:rsidRDefault="00A41FC0" w:rsidP="00A41FC0">
            <w:pPr>
              <w:bidi w:val="0"/>
              <w:jc w:val="center"/>
              <w:rPr>
                <w:rFonts w:ascii="Arial" w:hAnsi="Arial"/>
                <w:noProof w:val="0"/>
                <w:sz w:val="28"/>
                <w:szCs w:val="28"/>
                <w:u w:val="single"/>
                <w:rtl/>
              </w:rPr>
            </w:pPr>
          </w:p>
          <w:p w:rsidR="00A41FC0" w:rsidRPr="00A41FC0" w:rsidRDefault="00A41FC0" w:rsidP="00A41FC0">
            <w:pPr>
              <w:bidi w:val="0"/>
              <w:jc w:val="center"/>
              <w:rPr>
                <w:rFonts w:ascii="Arial" w:hAnsi="Arial"/>
                <w:noProof w:val="0"/>
                <w:sz w:val="28"/>
                <w:szCs w:val="28"/>
                <w:u w:val="single"/>
                <w:rtl/>
              </w:rPr>
            </w:pPr>
          </w:p>
          <w:p w:rsidR="00A41FC0" w:rsidRPr="00A41FC0" w:rsidRDefault="00A41FC0" w:rsidP="00A41FC0">
            <w:pPr>
              <w:bidi w:val="0"/>
              <w:jc w:val="center"/>
              <w:rPr>
                <w:rFonts w:ascii="Arial" w:hAnsi="Arial"/>
                <w:noProof w:val="0"/>
                <w:sz w:val="28"/>
                <w:szCs w:val="28"/>
                <w:u w:val="single"/>
              </w:rPr>
            </w:pPr>
          </w:p>
        </w:tc>
      </w:tr>
    </w:tbl>
    <w:p w:rsidR="00A41FC0" w:rsidRPr="00A41FC0" w:rsidRDefault="00A41FC0" w:rsidP="001B239B">
      <w:pPr>
        <w:spacing w:line="360" w:lineRule="auto"/>
        <w:contextualSpacing/>
        <w:jc w:val="both"/>
        <w:rPr>
          <w:rFonts w:ascii="Arial" w:hAnsi="Arial"/>
          <w:noProof w:val="0"/>
          <w:rtl/>
        </w:rPr>
      </w:pPr>
      <w:r w:rsidRPr="00A41FC0">
        <w:rPr>
          <w:rFonts w:ascii="Arial" w:hAnsi="Arial"/>
          <w:noProof w:val="0"/>
          <w:rtl/>
        </w:rPr>
        <w:t xml:space="preserve">זוג מגיע בטיסה לישראל, במפגש הראשון שלו עם הרשויות, נציגי רשות האוכלוסין וההגירה בנמל התעופה, הם נלקחים לתשאול. עד כאן, אין לאיש כל טרוניה, והדבר נערך </w:t>
      </w:r>
      <w:r w:rsidR="00B9485C">
        <w:rPr>
          <w:rFonts w:ascii="Arial" w:hAnsi="Arial" w:hint="cs"/>
          <w:noProof w:val="0"/>
          <w:rtl/>
        </w:rPr>
        <w:t>בביקורת הגבולות</w:t>
      </w:r>
      <w:r w:rsidRPr="00A41FC0">
        <w:rPr>
          <w:rFonts w:ascii="Arial" w:hAnsi="Arial"/>
          <w:noProof w:val="0"/>
          <w:rtl/>
        </w:rPr>
        <w:t xml:space="preserve"> במדינות רבות. אולם, בהמשך, במהלך התשאול מורים להם למסור את הטלפונים </w:t>
      </w:r>
      <w:r w:rsidR="004925B4">
        <w:rPr>
          <w:rFonts w:ascii="Arial" w:hAnsi="Arial" w:hint="cs"/>
          <w:noProof w:val="0"/>
          <w:rtl/>
        </w:rPr>
        <w:t>הניידים</w:t>
      </w:r>
      <w:r w:rsidRPr="00A41FC0">
        <w:rPr>
          <w:rFonts w:ascii="Arial" w:hAnsi="Arial"/>
          <w:noProof w:val="0"/>
          <w:rtl/>
        </w:rPr>
        <w:t xml:space="preserve"> החכמים שברשותם</w:t>
      </w:r>
      <w:r w:rsidR="00335654">
        <w:rPr>
          <w:rFonts w:ascii="Arial" w:hAnsi="Arial" w:hint="cs"/>
          <w:noProof w:val="0"/>
          <w:rtl/>
        </w:rPr>
        <w:t xml:space="preserve"> (להלן: </w:t>
      </w:r>
      <w:r w:rsidR="00335654" w:rsidRPr="00335654">
        <w:rPr>
          <w:rFonts w:ascii="Arial" w:hAnsi="Arial" w:hint="cs"/>
          <w:b/>
          <w:bCs/>
          <w:noProof w:val="0"/>
          <w:rtl/>
        </w:rPr>
        <w:t>טלפונים ניידים</w:t>
      </w:r>
      <w:r w:rsidR="00335654">
        <w:rPr>
          <w:rFonts w:ascii="Arial" w:hAnsi="Arial" w:hint="cs"/>
          <w:noProof w:val="0"/>
          <w:rtl/>
        </w:rPr>
        <w:t>),</w:t>
      </w:r>
      <w:r w:rsidRPr="00A41FC0">
        <w:rPr>
          <w:rFonts w:ascii="Arial" w:hAnsi="Arial"/>
          <w:noProof w:val="0"/>
          <w:rtl/>
        </w:rPr>
        <w:t xml:space="preserve"> </w:t>
      </w:r>
      <w:r w:rsidR="007236DA">
        <w:rPr>
          <w:rFonts w:ascii="Arial" w:hAnsi="Arial" w:hint="cs"/>
          <w:noProof w:val="0"/>
          <w:rtl/>
        </w:rPr>
        <w:t>לצורך חיפוש בהם בידי בקרי הגבול</w:t>
      </w:r>
      <w:r w:rsidRPr="00A41FC0">
        <w:rPr>
          <w:rFonts w:ascii="Arial" w:hAnsi="Arial"/>
          <w:noProof w:val="0"/>
          <w:rtl/>
        </w:rPr>
        <w:t xml:space="preserve"> (או שמבקשים מהם למסור אותם מבלי להבהיר כי אינם חייבים לעשות כן)</w:t>
      </w:r>
      <w:r w:rsidR="007236DA">
        <w:rPr>
          <w:rFonts w:ascii="Arial" w:hAnsi="Arial" w:hint="cs"/>
          <w:noProof w:val="0"/>
          <w:rtl/>
        </w:rPr>
        <w:t xml:space="preserve">. בקרי הגבול עורכים בטלפונים חיפוש </w:t>
      </w:r>
      <w:r w:rsidR="001B239B" w:rsidRPr="00A41FC0">
        <w:rPr>
          <w:rFonts w:ascii="Arial" w:hAnsi="Arial"/>
          <w:noProof w:val="0"/>
          <w:rtl/>
        </w:rPr>
        <w:t xml:space="preserve">ללא הסמכה לחיפוש בחוק או בנוהל מכוחו וללא צו שיפוטי. </w:t>
      </w:r>
      <w:r w:rsidR="001B239B">
        <w:rPr>
          <w:rFonts w:ascii="Arial" w:hAnsi="Arial" w:hint="cs"/>
          <w:noProof w:val="0"/>
          <w:rtl/>
        </w:rPr>
        <w:t xml:space="preserve">החיפוש שנעשה </w:t>
      </w:r>
      <w:r w:rsidR="007236DA">
        <w:rPr>
          <w:rFonts w:ascii="Arial" w:hAnsi="Arial" w:hint="cs"/>
          <w:noProof w:val="0"/>
          <w:rtl/>
        </w:rPr>
        <w:t>בלתי</w:t>
      </w:r>
      <w:r w:rsidRPr="00A41FC0">
        <w:rPr>
          <w:rFonts w:ascii="Arial" w:hAnsi="Arial"/>
          <w:noProof w:val="0"/>
          <w:rtl/>
        </w:rPr>
        <w:t xml:space="preserve"> מבוקר, ללא קריטריונים, ללא מגבלות וללא תיעוד כלשהו של הליך החיפוש. התנהלות זו של הרשות היא במרכז הערעור שלפניי. ערעור זה מעלה לראשונה שאלה בדבר </w:t>
      </w:r>
      <w:r w:rsidR="001B239B">
        <w:rPr>
          <w:rFonts w:ascii="Arial" w:hAnsi="Arial" w:hint="cs"/>
          <w:noProof w:val="0"/>
          <w:rtl/>
        </w:rPr>
        <w:t>סמכות</w:t>
      </w:r>
      <w:r w:rsidRPr="00A41FC0">
        <w:rPr>
          <w:rFonts w:ascii="Arial" w:hAnsi="Arial"/>
          <w:noProof w:val="0"/>
          <w:rtl/>
        </w:rPr>
        <w:t xml:space="preserve"> בקרי הגבול ונציגי הרשות </w:t>
      </w:r>
      <w:r w:rsidR="00B9485C">
        <w:rPr>
          <w:rFonts w:ascii="Arial" w:hAnsi="Arial" w:hint="cs"/>
          <w:noProof w:val="0"/>
          <w:rtl/>
        </w:rPr>
        <w:t>לערוך חיפוש</w:t>
      </w:r>
      <w:r w:rsidRPr="00A41FC0">
        <w:rPr>
          <w:rFonts w:ascii="Arial" w:hAnsi="Arial"/>
          <w:noProof w:val="0"/>
          <w:rtl/>
        </w:rPr>
        <w:t xml:space="preserve"> במכשירי הטלפון הניידים של המבקשים להיכנס לישראל, </w:t>
      </w:r>
    </w:p>
    <w:p w:rsidR="00A41FC0" w:rsidRPr="00A41FC0" w:rsidRDefault="00A41FC0" w:rsidP="00A41FC0">
      <w:pPr>
        <w:spacing w:line="360" w:lineRule="auto"/>
        <w:contextualSpacing/>
        <w:jc w:val="both"/>
        <w:rPr>
          <w:rFonts w:ascii="Arial" w:hAnsi="Arial"/>
          <w:noProof w:val="0"/>
          <w:rtl/>
        </w:rPr>
      </w:pPr>
    </w:p>
    <w:p w:rsidR="00A41FC0" w:rsidRPr="00A41FC0" w:rsidRDefault="00A41FC0" w:rsidP="00B9485C">
      <w:pPr>
        <w:spacing w:line="360" w:lineRule="auto"/>
        <w:contextualSpacing/>
        <w:jc w:val="both"/>
        <w:rPr>
          <w:rFonts w:ascii="Arial" w:hAnsi="Arial"/>
          <w:noProof w:val="0"/>
          <w:rtl/>
        </w:rPr>
      </w:pPr>
      <w:r w:rsidRPr="00A41FC0">
        <w:rPr>
          <w:rFonts w:ascii="Arial" w:hAnsi="Arial"/>
          <w:noProof w:val="0"/>
          <w:rtl/>
        </w:rPr>
        <w:t>עוד</w:t>
      </w:r>
      <w:r w:rsidR="00B9485C">
        <w:rPr>
          <w:rFonts w:ascii="Arial" w:hAnsi="Arial"/>
          <w:noProof w:val="0"/>
          <w:rtl/>
        </w:rPr>
        <w:t xml:space="preserve"> בשנת 2019, קבע בית הדין לעררים</w:t>
      </w:r>
      <w:r w:rsidRPr="00A41FC0">
        <w:rPr>
          <w:rFonts w:ascii="Arial" w:hAnsi="Arial"/>
          <w:noProof w:val="0"/>
          <w:rtl/>
        </w:rPr>
        <w:t xml:space="preserve"> כי פקידי הרשות אינם רשאים לקחת טלפונים </w:t>
      </w:r>
      <w:r w:rsidR="00100F6D">
        <w:rPr>
          <w:rFonts w:ascii="Arial" w:hAnsi="Arial" w:hint="cs"/>
          <w:noProof w:val="0"/>
          <w:rtl/>
        </w:rPr>
        <w:t>ניידים</w:t>
      </w:r>
      <w:r w:rsidRPr="00A41FC0">
        <w:rPr>
          <w:rFonts w:ascii="Arial" w:hAnsi="Arial"/>
          <w:noProof w:val="0"/>
          <w:rtl/>
        </w:rPr>
        <w:t xml:space="preserve"> ממי שמגיעים לישראל, ולעשות בהם חיפושים ככל העולה על רוחם. אולם, מאז דבר לא נעשה. לשאלתי במהלך הדיון האם בכוונת הרשות להסדיר את העניין מבלי להידרש להכרעה שיפוטית, השיבה הרשות כי העניין נמצא על שולחנם של מקבלי ההחלטות ברשות, אך לא יכולה הייתה להתחייב </w:t>
      </w:r>
      <w:r w:rsidRPr="00A41FC0">
        <w:rPr>
          <w:rFonts w:ascii="Arial" w:hAnsi="Arial"/>
          <w:noProof w:val="0"/>
          <w:rtl/>
        </w:rPr>
        <w:lastRenderedPageBreak/>
        <w:t>לכל לוח זמנים שהוא. על כן נדרשת הכרעה בנושא. לאחר הצגת רקע הדברים וטיעוני הצדדים אדון בשאלת הסמכות המקומית בקצרה (שכן זו הוכרע</w:t>
      </w:r>
      <w:r w:rsidR="00B9485C">
        <w:rPr>
          <w:rFonts w:ascii="Arial" w:hAnsi="Arial"/>
          <w:noProof w:val="0"/>
          <w:rtl/>
        </w:rPr>
        <w:t>ה על ידי בשתי הזדמנויות קודמות)</w:t>
      </w:r>
      <w:r w:rsidR="00B9485C">
        <w:rPr>
          <w:rFonts w:ascii="Arial" w:hAnsi="Arial" w:hint="cs"/>
          <w:noProof w:val="0"/>
          <w:rtl/>
        </w:rPr>
        <w:t xml:space="preserve">, </w:t>
      </w:r>
      <w:r w:rsidRPr="00A41FC0">
        <w:rPr>
          <w:rFonts w:ascii="Arial" w:hAnsi="Arial"/>
          <w:noProof w:val="0"/>
          <w:rtl/>
        </w:rPr>
        <w:t xml:space="preserve">ולאחר מכן אתמקד בהתנהלות הרשות בכל הנוגע לחיפוש בטלפונים של המגיעים לישראל. </w:t>
      </w:r>
    </w:p>
    <w:p w:rsidR="00A41FC0" w:rsidRPr="00A41FC0" w:rsidRDefault="00A41FC0" w:rsidP="00A41FC0">
      <w:pPr>
        <w:spacing w:line="360" w:lineRule="auto"/>
        <w:contextualSpacing/>
        <w:jc w:val="both"/>
        <w:rPr>
          <w:rFonts w:ascii="Arial" w:hAnsi="Arial"/>
          <w:noProof w:val="0"/>
          <w:rtl/>
        </w:rPr>
      </w:pPr>
    </w:p>
    <w:p w:rsidR="00A41FC0" w:rsidRPr="00A41FC0" w:rsidRDefault="00A41FC0" w:rsidP="00A41FC0">
      <w:pPr>
        <w:spacing w:line="360" w:lineRule="auto"/>
        <w:contextualSpacing/>
        <w:jc w:val="both"/>
        <w:rPr>
          <w:rFonts w:ascii="Arial" w:hAnsi="Arial"/>
          <w:b/>
          <w:bCs/>
          <w:noProof w:val="0"/>
          <w:u w:val="single"/>
          <w:rtl/>
        </w:rPr>
      </w:pPr>
      <w:r w:rsidRPr="00A41FC0">
        <w:rPr>
          <w:rFonts w:ascii="Arial" w:hAnsi="Arial"/>
          <w:b/>
          <w:bCs/>
          <w:noProof w:val="0"/>
          <w:u w:val="single"/>
          <w:rtl/>
        </w:rPr>
        <w:t xml:space="preserve">רקע הדברים </w:t>
      </w:r>
    </w:p>
    <w:p w:rsidR="00A41FC0" w:rsidRPr="00A41FC0" w:rsidRDefault="00A41FC0" w:rsidP="00A41FC0">
      <w:pPr>
        <w:numPr>
          <w:ilvl w:val="0"/>
          <w:numId w:val="1"/>
        </w:numPr>
        <w:spacing w:before="240" w:line="360" w:lineRule="auto"/>
        <w:contextualSpacing/>
        <w:jc w:val="both"/>
        <w:rPr>
          <w:rFonts w:ascii="Arial" w:hAnsi="Arial"/>
          <w:noProof w:val="0"/>
          <w:rtl/>
        </w:rPr>
      </w:pPr>
      <w:r w:rsidRPr="00A41FC0">
        <w:rPr>
          <w:rFonts w:ascii="Arial" w:hAnsi="Arial"/>
          <w:noProof w:val="0"/>
          <w:rtl/>
        </w:rPr>
        <w:t xml:space="preserve">בערעור שלפניי מבוקש לבטל את פסק דינו של בית הדין לעררים מיום 29.12.2022 (ערר 4754-22, כב' הדיין אסף נועם) שדחה את הערר שהגישו המערערים, אזרחי אוקראינה שכיום הינם תושבי פולין ונמצאים בתהליך התאזרחות שם (להלן: </w:t>
      </w:r>
      <w:r w:rsidRPr="00A41FC0">
        <w:rPr>
          <w:rFonts w:ascii="Arial" w:hAnsi="Arial"/>
          <w:b/>
          <w:bCs/>
          <w:noProof w:val="0"/>
          <w:rtl/>
        </w:rPr>
        <w:t>המערערים</w:t>
      </w:r>
      <w:r w:rsidRPr="00A41FC0">
        <w:rPr>
          <w:rFonts w:ascii="Arial" w:hAnsi="Arial"/>
          <w:noProof w:val="0"/>
          <w:rtl/>
        </w:rPr>
        <w:t xml:space="preserve">), על החלטת רשות האוכלוסין וההגירה (להלן: </w:t>
      </w:r>
      <w:r w:rsidRPr="00A41FC0">
        <w:rPr>
          <w:rFonts w:ascii="Arial" w:hAnsi="Arial"/>
          <w:b/>
          <w:bCs/>
          <w:noProof w:val="0"/>
          <w:rtl/>
        </w:rPr>
        <w:t>הרשות</w:t>
      </w:r>
      <w:r w:rsidRPr="00A41FC0">
        <w:rPr>
          <w:rFonts w:ascii="Arial" w:hAnsi="Arial"/>
          <w:noProof w:val="0"/>
          <w:rtl/>
        </w:rPr>
        <w:t xml:space="preserve">) מיום 29.12.2022 לסרב את כניסתם לישראל לביקור משפחתי קצר בן שבוע לשם חגיגות השנה האזרחית החדשה 2023 (להלן: </w:t>
      </w:r>
      <w:r w:rsidRPr="00A41FC0">
        <w:rPr>
          <w:rFonts w:ascii="Arial" w:hAnsi="Arial"/>
          <w:b/>
          <w:bCs/>
          <w:noProof w:val="0"/>
          <w:rtl/>
        </w:rPr>
        <w:t>החלטת הסרוב</w:t>
      </w:r>
      <w:r w:rsidRPr="00A41FC0">
        <w:rPr>
          <w:rFonts w:ascii="Arial" w:hAnsi="Arial"/>
          <w:noProof w:val="0"/>
          <w:rtl/>
        </w:rPr>
        <w:t xml:space="preserve">). </w:t>
      </w:r>
    </w:p>
    <w:p w:rsidR="00A41FC0" w:rsidRPr="00A41FC0" w:rsidRDefault="00A41FC0" w:rsidP="00A41FC0">
      <w:pPr>
        <w:spacing w:line="360" w:lineRule="auto"/>
        <w:contextualSpacing/>
        <w:jc w:val="both"/>
        <w:rPr>
          <w:rFonts w:ascii="David" w:eastAsia="Calibri" w:hAnsi="David"/>
          <w:b/>
          <w:bCs/>
          <w:u w:val="single"/>
          <w:rtl/>
        </w:rPr>
      </w:pPr>
    </w:p>
    <w:p w:rsidR="00A41FC0" w:rsidRPr="00A41FC0" w:rsidRDefault="00A41FC0" w:rsidP="00575872">
      <w:pPr>
        <w:numPr>
          <w:ilvl w:val="0"/>
          <w:numId w:val="1"/>
        </w:numPr>
        <w:spacing w:before="240" w:line="360" w:lineRule="auto"/>
        <w:contextualSpacing/>
        <w:jc w:val="both"/>
        <w:rPr>
          <w:rFonts w:ascii="Arial" w:hAnsi="Arial"/>
          <w:noProof w:val="0"/>
          <w:rtl/>
        </w:rPr>
      </w:pPr>
      <w:r w:rsidRPr="00A41FC0">
        <w:rPr>
          <w:rFonts w:ascii="Arial" w:hAnsi="Arial"/>
          <w:noProof w:val="0"/>
          <w:rtl/>
        </w:rPr>
        <w:t>המערערים הגיעו לפולין מאוקראינה בשל המלחמה במולדתם, התיישבו בגדנסק, וכיום שם מרכז חייהם</w:t>
      </w:r>
      <w:r w:rsidR="0023309C">
        <w:rPr>
          <w:rFonts w:ascii="Arial" w:hAnsi="Arial" w:hint="cs"/>
          <w:noProof w:val="0"/>
          <w:rtl/>
        </w:rPr>
        <w:t>, שם הם גרים ועובדים, וכן נמצאים בהליך</w:t>
      </w:r>
      <w:r w:rsidRPr="00A41FC0">
        <w:rPr>
          <w:rFonts w:ascii="Arial" w:hAnsi="Arial"/>
          <w:noProof w:val="0"/>
          <w:rtl/>
        </w:rPr>
        <w:t xml:space="preserve"> התאזרחות שלטענתם צפויה להינתן להם בשנה הקרובה. ביום 29.12.22 </w:t>
      </w:r>
      <w:r w:rsidR="00B9485C">
        <w:rPr>
          <w:rFonts w:ascii="Arial" w:hAnsi="Arial" w:hint="cs"/>
          <w:noProof w:val="0"/>
          <w:rtl/>
        </w:rPr>
        <w:t>הגיעו</w:t>
      </w:r>
      <w:r w:rsidRPr="00A41FC0">
        <w:rPr>
          <w:rFonts w:ascii="Arial" w:hAnsi="Arial"/>
          <w:noProof w:val="0"/>
          <w:rtl/>
        </w:rPr>
        <w:t xml:space="preserve"> המערערים </w:t>
      </w:r>
      <w:r w:rsidR="00B9485C">
        <w:rPr>
          <w:rFonts w:ascii="Arial" w:hAnsi="Arial" w:hint="cs"/>
          <w:noProof w:val="0"/>
          <w:rtl/>
        </w:rPr>
        <w:t>בטיסה לנתב"ג, וביקשו להיכנס לישראל</w:t>
      </w:r>
      <w:r w:rsidRPr="00A41FC0">
        <w:rPr>
          <w:rFonts w:ascii="Arial" w:hAnsi="Arial"/>
          <w:noProof w:val="0"/>
          <w:rtl/>
        </w:rPr>
        <w:t xml:space="preserve"> ל</w:t>
      </w:r>
      <w:r w:rsidR="00575872">
        <w:rPr>
          <w:rFonts w:ascii="Arial" w:hAnsi="Arial" w:hint="cs"/>
          <w:noProof w:val="0"/>
          <w:rtl/>
        </w:rPr>
        <w:t>ב</w:t>
      </w:r>
      <w:r w:rsidRPr="00A41FC0">
        <w:rPr>
          <w:rFonts w:ascii="Arial" w:hAnsi="Arial"/>
          <w:noProof w:val="0"/>
          <w:rtl/>
        </w:rPr>
        <w:t>יקור משפחתי לרגל חגיגות השנה החדשה, אצל אמה של המערערת ובן זוגה הישראלי לו היא נשואה ושוהה בארץ כדין מכח נישואיהם. המערערים טוענים כי הצטיידו מבעוד מועד במכתב מבן הזוג של אם המערערת, שמפרט את נסיבות הגעתם לישראל, מבטיח שיארח אותם וידאג לכל צרכיהם, ומציין במפורש כי אין בכוונתם להשתקע בארץ.</w:t>
      </w:r>
    </w:p>
    <w:p w:rsidR="00A41FC0" w:rsidRPr="00A41FC0" w:rsidRDefault="00A41FC0" w:rsidP="00A41FC0">
      <w:pPr>
        <w:spacing w:line="360" w:lineRule="auto"/>
        <w:contextualSpacing/>
        <w:jc w:val="both"/>
        <w:rPr>
          <w:rFonts w:ascii="Arial" w:hAnsi="Arial"/>
          <w:noProof w:val="0"/>
          <w:rtl/>
        </w:rPr>
      </w:pPr>
    </w:p>
    <w:p w:rsidR="00A41FC0" w:rsidRPr="00A41FC0" w:rsidRDefault="00A41FC0" w:rsidP="00575872">
      <w:pPr>
        <w:numPr>
          <w:ilvl w:val="0"/>
          <w:numId w:val="1"/>
        </w:numPr>
        <w:spacing w:before="240" w:line="360" w:lineRule="auto"/>
        <w:contextualSpacing/>
        <w:jc w:val="both"/>
        <w:rPr>
          <w:rFonts w:ascii="Arial" w:hAnsi="Arial"/>
          <w:noProof w:val="0"/>
          <w:rtl/>
        </w:rPr>
      </w:pPr>
      <w:r w:rsidRPr="00A41FC0">
        <w:rPr>
          <w:rFonts w:ascii="Arial" w:hAnsi="Arial"/>
          <w:noProof w:val="0"/>
          <w:rtl/>
        </w:rPr>
        <w:t>עם נחיתת המערערים בנתב"ג בשעות הבוקר, הם נלקחו לתשאול, לטענתם ללא שהוסבר להם כי לא ניתן להרחיקם בטרם חלוף 48 שעות בהיותם אזרחי אוקראינה, וכי הם רשאים להיות מיוצגים על ידי עו"ד</w:t>
      </w:r>
      <w:r w:rsidR="0023309C">
        <w:rPr>
          <w:rFonts w:ascii="Arial" w:hAnsi="Arial" w:hint="cs"/>
          <w:noProof w:val="0"/>
          <w:rtl/>
        </w:rPr>
        <w:t xml:space="preserve">. בדו"ח התשאול (שצורף לתשובת הרשות לערר, נספח 6 לערעור), צוין כי הובהר להם שהם זכאים </w:t>
      </w:r>
      <w:r w:rsidR="007236DA">
        <w:rPr>
          <w:rFonts w:ascii="Arial" w:hAnsi="Arial" w:hint="cs"/>
          <w:noProof w:val="0"/>
          <w:rtl/>
        </w:rPr>
        <w:t>להישאר בישראל 48 שעות וזכאים ליי</w:t>
      </w:r>
      <w:r w:rsidR="0023309C">
        <w:rPr>
          <w:rFonts w:ascii="Arial" w:hAnsi="Arial" w:hint="cs"/>
          <w:noProof w:val="0"/>
          <w:rtl/>
        </w:rPr>
        <w:t xml:space="preserve">צוג משפטי, </w:t>
      </w:r>
      <w:r w:rsidRPr="00A41FC0">
        <w:rPr>
          <w:rFonts w:ascii="Arial" w:hAnsi="Arial"/>
          <w:noProof w:val="0"/>
          <w:rtl/>
        </w:rPr>
        <w:t xml:space="preserve">והם הבינו </w:t>
      </w:r>
      <w:r w:rsidR="00575872">
        <w:rPr>
          <w:rFonts w:ascii="Arial" w:hAnsi="Arial" w:hint="cs"/>
          <w:noProof w:val="0"/>
          <w:rtl/>
        </w:rPr>
        <w:t xml:space="preserve">את זכויותיהם, אך </w:t>
      </w:r>
      <w:r w:rsidRPr="00A41FC0">
        <w:rPr>
          <w:rFonts w:ascii="Arial" w:hAnsi="Arial"/>
          <w:noProof w:val="0"/>
          <w:rtl/>
        </w:rPr>
        <w:t>ביקשו לשוב לארצם</w:t>
      </w:r>
      <w:r w:rsidR="00575872">
        <w:rPr>
          <w:rFonts w:ascii="Arial" w:hAnsi="Arial" w:hint="cs"/>
          <w:noProof w:val="0"/>
          <w:rtl/>
        </w:rPr>
        <w:t xml:space="preserve"> עוד באותו יום</w:t>
      </w:r>
      <w:r w:rsidR="0023309C">
        <w:rPr>
          <w:rFonts w:ascii="Arial" w:hAnsi="Arial" w:hint="cs"/>
          <w:noProof w:val="0"/>
          <w:rtl/>
        </w:rPr>
        <w:t xml:space="preserve"> (</w:t>
      </w:r>
      <w:r w:rsidR="00575872">
        <w:rPr>
          <w:rFonts w:ascii="Arial" w:hAnsi="Arial" w:hint="cs"/>
          <w:noProof w:val="0"/>
          <w:rtl/>
        </w:rPr>
        <w:t xml:space="preserve">הגשת הערר בסמוך מעידה שלא כך היו פני הדברים, </w:t>
      </w:r>
      <w:r w:rsidR="0023309C">
        <w:rPr>
          <w:rFonts w:ascii="Arial" w:hAnsi="Arial" w:hint="cs"/>
          <w:noProof w:val="0"/>
          <w:rtl/>
        </w:rPr>
        <w:t>לשאלת תיעוד התשאול וההסכמות במסגרתו אדרש בהמשך).</w:t>
      </w:r>
      <w:r w:rsidRPr="00A41FC0">
        <w:rPr>
          <w:rFonts w:ascii="Arial" w:hAnsi="Arial"/>
          <w:noProof w:val="0"/>
          <w:rtl/>
        </w:rPr>
        <w:t xml:space="preserve"> בנוסף, מכשירי הטלפון הניידים שלהם נלקחו מהם, לטענתם, ללא שהוסבר להם כי הם רשאים לסרב, ותוך שנמנעת מהם האפשרות ליצור קשר עם קרוביהם הנמצאים בישראל, בעצמם</w:t>
      </w:r>
      <w:r w:rsidR="00575872">
        <w:rPr>
          <w:rFonts w:ascii="Arial" w:hAnsi="Arial" w:hint="cs"/>
          <w:noProof w:val="0"/>
          <w:rtl/>
        </w:rPr>
        <w:t xml:space="preserve"> או </w:t>
      </w:r>
      <w:r w:rsidRPr="00A41FC0">
        <w:rPr>
          <w:rFonts w:ascii="Arial" w:hAnsi="Arial"/>
          <w:noProof w:val="0"/>
          <w:rtl/>
        </w:rPr>
        <w:t xml:space="preserve"> באמצעות נציגי הרשות. </w:t>
      </w:r>
    </w:p>
    <w:p w:rsidR="00A41FC0" w:rsidRPr="00A41FC0" w:rsidRDefault="00A41FC0" w:rsidP="00A41FC0">
      <w:pPr>
        <w:spacing w:line="360" w:lineRule="auto"/>
        <w:contextualSpacing/>
        <w:jc w:val="both"/>
        <w:rPr>
          <w:rFonts w:ascii="Arial" w:hAnsi="Arial"/>
          <w:noProof w:val="0"/>
          <w:rtl/>
        </w:rPr>
      </w:pPr>
    </w:p>
    <w:p w:rsidR="00A41FC0" w:rsidRPr="00A41FC0" w:rsidRDefault="00A41FC0" w:rsidP="001B239B">
      <w:pPr>
        <w:numPr>
          <w:ilvl w:val="0"/>
          <w:numId w:val="1"/>
        </w:numPr>
        <w:spacing w:line="360" w:lineRule="auto"/>
        <w:contextualSpacing/>
        <w:jc w:val="both"/>
        <w:rPr>
          <w:rFonts w:ascii="Arial" w:hAnsi="Arial"/>
          <w:noProof w:val="0"/>
          <w:rtl/>
        </w:rPr>
      </w:pPr>
      <w:r w:rsidRPr="00A41FC0">
        <w:rPr>
          <w:rFonts w:ascii="Arial" w:hAnsi="Arial"/>
          <w:noProof w:val="0"/>
          <w:rtl/>
        </w:rPr>
        <w:t>בקרית הגבול ערכה חיפוש במכשיר הטלפון של המערערת</w:t>
      </w:r>
      <w:r w:rsidR="009D767D">
        <w:rPr>
          <w:rFonts w:ascii="Arial" w:hAnsi="Arial" w:hint="cs"/>
          <w:noProof w:val="0"/>
          <w:rtl/>
        </w:rPr>
        <w:t>.</w:t>
      </w:r>
      <w:r w:rsidRPr="00A41FC0">
        <w:rPr>
          <w:rFonts w:ascii="Arial" w:hAnsi="Arial"/>
          <w:noProof w:val="0"/>
          <w:rtl/>
        </w:rPr>
        <w:t xml:space="preserve"> אין מחלוקת כי החיפוש בטלפון של המערערת נעשה ע"י בקרית הגבול, שכן בדו"ח התשאול עצמו (נספח מע/6 להודעת הערעור), צוין ע"י בקרית הגבול כי ה"בדיקה", כך לשון </w:t>
      </w:r>
      <w:r w:rsidR="00410500">
        <w:rPr>
          <w:rFonts w:ascii="Arial" w:hAnsi="Arial" w:hint="cs"/>
          <w:noProof w:val="0"/>
          <w:rtl/>
        </w:rPr>
        <w:t xml:space="preserve">דו"ח </w:t>
      </w:r>
      <w:r w:rsidRPr="00A41FC0">
        <w:rPr>
          <w:rFonts w:ascii="Arial" w:hAnsi="Arial"/>
          <w:noProof w:val="0"/>
          <w:rtl/>
        </w:rPr>
        <w:t xml:space="preserve">התשאול, בטלפון </w:t>
      </w:r>
      <w:r w:rsidR="00100F6D">
        <w:rPr>
          <w:rFonts w:ascii="Arial" w:hAnsi="Arial" w:hint="cs"/>
          <w:noProof w:val="0"/>
          <w:rtl/>
        </w:rPr>
        <w:t xml:space="preserve">הנייד </w:t>
      </w:r>
      <w:r w:rsidRPr="00A41FC0">
        <w:rPr>
          <w:rFonts w:ascii="Arial" w:hAnsi="Arial"/>
          <w:noProof w:val="0"/>
          <w:rtl/>
        </w:rPr>
        <w:t xml:space="preserve">של המערערת, נעשתה "בהסכמתה ונוכחותה של המערערת". הרשות חזרה על הדברים בתגובתה לערר בבית הדין (שם, פס' 6). בתכתובות בין המערערת לבין אמה נמצא קישור לקבוצות פייסבוק בנושא עבודה בישראל. המערערת נשאלה לעניין זה ואמרה שמדובר </w:t>
      </w:r>
      <w:r w:rsidR="0023309C">
        <w:rPr>
          <w:rFonts w:ascii="Arial" w:hAnsi="Arial" w:hint="cs"/>
          <w:noProof w:val="0"/>
          <w:rtl/>
        </w:rPr>
        <w:t>בהודעה ישנה.</w:t>
      </w:r>
      <w:r w:rsidRPr="00A41FC0">
        <w:rPr>
          <w:rFonts w:ascii="Arial" w:hAnsi="Arial"/>
          <w:noProof w:val="0"/>
          <w:rtl/>
        </w:rPr>
        <w:t xml:space="preserve"> כשדרכוניהם והטלפונים שלהם אינם בידיהם התבקשו המערערים לחתום על טפסי ויתור על ייצוג בידי עו"ד והסכמה לשוב </w:t>
      </w:r>
      <w:r w:rsidR="0023309C">
        <w:rPr>
          <w:rFonts w:ascii="Arial" w:hAnsi="Arial"/>
          <w:noProof w:val="0"/>
          <w:rtl/>
        </w:rPr>
        <w:t xml:space="preserve">על </w:t>
      </w:r>
      <w:r w:rsidR="0023309C">
        <w:rPr>
          <w:rFonts w:ascii="Arial" w:hAnsi="Arial"/>
          <w:noProof w:val="0"/>
          <w:rtl/>
        </w:rPr>
        <w:lastRenderedPageBreak/>
        <w:t>עקבותיהם בטיסה הקרובה כטענתם</w:t>
      </w:r>
      <w:r w:rsidR="0023309C">
        <w:rPr>
          <w:rFonts w:ascii="Arial" w:hAnsi="Arial" w:hint="cs"/>
          <w:noProof w:val="0"/>
          <w:rtl/>
        </w:rPr>
        <w:t>.</w:t>
      </w:r>
      <w:r w:rsidRPr="00A41FC0">
        <w:rPr>
          <w:rFonts w:ascii="Arial" w:hAnsi="Arial"/>
          <w:noProof w:val="0"/>
          <w:rtl/>
        </w:rPr>
        <w:t xml:space="preserve"> רק בשלב זה בן הזוג של אם המערערת הסדיר להם ייעוץ משפטי, ובשעה 17:00 לערך הוגש ערר דחוף לבית הדין לעררים בתל אביב על החלטת הרשות לסרב את כניסתם לישראל. </w:t>
      </w:r>
    </w:p>
    <w:p w:rsidR="00A41FC0" w:rsidRPr="00A41FC0" w:rsidRDefault="00A41FC0" w:rsidP="001B239B">
      <w:pPr>
        <w:spacing w:line="360" w:lineRule="auto"/>
        <w:contextualSpacing/>
        <w:jc w:val="both"/>
        <w:rPr>
          <w:rFonts w:ascii="Arial" w:hAnsi="Arial"/>
          <w:noProof w:val="0"/>
          <w:rtl/>
        </w:rPr>
      </w:pPr>
    </w:p>
    <w:p w:rsidR="00A41FC0" w:rsidRPr="00A41FC0" w:rsidRDefault="00A41FC0" w:rsidP="001B239B">
      <w:pPr>
        <w:numPr>
          <w:ilvl w:val="0"/>
          <w:numId w:val="1"/>
        </w:numPr>
        <w:spacing w:line="360" w:lineRule="auto"/>
        <w:contextualSpacing/>
        <w:jc w:val="both"/>
        <w:rPr>
          <w:rFonts w:ascii="Arial" w:hAnsi="Arial"/>
          <w:noProof w:val="0"/>
          <w:rtl/>
        </w:rPr>
      </w:pPr>
      <w:r w:rsidRPr="00A41FC0">
        <w:rPr>
          <w:rFonts w:ascii="Arial" w:hAnsi="Arial"/>
          <w:noProof w:val="0"/>
          <w:rtl/>
        </w:rPr>
        <w:t>בשעה 18:00, שעה לאחר הגשת הערר, התקבלה החלטת בית הדין לעררים, כב' הדיין אסף נועם, שהורה לרשות להגיב עד שעה 20:00, ואיפשר למערערים לנמק מדוע הוגש הערר בתל אביב ולא בירושלים. בתגובת הרשות נטען כי הסמכות לבית הדין לעררים בירושלים, וכי ההחלטה נשוא הערר סבירה, ואף הפקדת ערבות</w:t>
      </w:r>
      <w:r w:rsidR="0023309C">
        <w:rPr>
          <w:rFonts w:ascii="Arial" w:hAnsi="Arial" w:hint="cs"/>
          <w:noProof w:val="0"/>
          <w:rtl/>
        </w:rPr>
        <w:t xml:space="preserve"> גבוהה שהוצעה, של 50,000 שקלים,</w:t>
      </w:r>
      <w:r w:rsidRPr="00A41FC0">
        <w:rPr>
          <w:rFonts w:ascii="Arial" w:hAnsi="Arial"/>
          <w:noProof w:val="0"/>
          <w:rtl/>
        </w:rPr>
        <w:t xml:space="preserve"> אינה מספיקה לנטרל את החשש מפני השתקעות </w:t>
      </w:r>
      <w:r w:rsidR="0029232D">
        <w:rPr>
          <w:rFonts w:ascii="Arial" w:hAnsi="Arial" w:hint="cs"/>
          <w:noProof w:val="0"/>
          <w:rtl/>
        </w:rPr>
        <w:t>המערערי</w:t>
      </w:r>
      <w:r w:rsidR="0029232D" w:rsidRPr="00A41FC0">
        <w:rPr>
          <w:rFonts w:ascii="Arial" w:hAnsi="Arial"/>
          <w:noProof w:val="0"/>
          <w:rtl/>
        </w:rPr>
        <w:t xml:space="preserve">ם </w:t>
      </w:r>
      <w:r w:rsidRPr="00A41FC0">
        <w:rPr>
          <w:rFonts w:ascii="Arial" w:hAnsi="Arial"/>
          <w:noProof w:val="0"/>
          <w:rtl/>
        </w:rPr>
        <w:t>שבשלו סורבה כניסת</w:t>
      </w:r>
      <w:r w:rsidR="0029232D">
        <w:rPr>
          <w:rFonts w:ascii="Arial" w:hAnsi="Arial" w:hint="cs"/>
          <w:noProof w:val="0"/>
          <w:rtl/>
        </w:rPr>
        <w:t>ם</w:t>
      </w:r>
      <w:r w:rsidRPr="00A41FC0">
        <w:rPr>
          <w:rFonts w:ascii="Arial" w:hAnsi="Arial"/>
          <w:noProof w:val="0"/>
          <w:rtl/>
        </w:rPr>
        <w:t xml:space="preserve">. המערערים טענו כי הסמכות נתונה לבית הדין בתל אביב לפי מקום מסירת החלטת הסרוב בנתב"ג, וכי ההחלטה אינה סבירה ואינה מבוססת עובדתית. </w:t>
      </w:r>
    </w:p>
    <w:p w:rsidR="00A41FC0" w:rsidRPr="00A41FC0" w:rsidRDefault="00A41FC0" w:rsidP="001B239B">
      <w:pPr>
        <w:spacing w:line="360" w:lineRule="auto"/>
        <w:contextualSpacing/>
        <w:jc w:val="both"/>
        <w:rPr>
          <w:rFonts w:ascii="Arial" w:hAnsi="Arial"/>
          <w:noProof w:val="0"/>
          <w:rtl/>
        </w:rPr>
      </w:pPr>
    </w:p>
    <w:p w:rsidR="00A41FC0" w:rsidRPr="00A41FC0" w:rsidRDefault="00A41FC0" w:rsidP="001B239B">
      <w:pPr>
        <w:numPr>
          <w:ilvl w:val="0"/>
          <w:numId w:val="1"/>
        </w:numPr>
        <w:spacing w:line="360" w:lineRule="auto"/>
        <w:contextualSpacing/>
        <w:jc w:val="both"/>
        <w:rPr>
          <w:rFonts w:ascii="Arial" w:hAnsi="Arial"/>
          <w:noProof w:val="0"/>
          <w:rtl/>
        </w:rPr>
      </w:pPr>
      <w:r w:rsidRPr="00A41FC0">
        <w:rPr>
          <w:rFonts w:ascii="Arial" w:hAnsi="Arial"/>
          <w:noProof w:val="0"/>
          <w:rtl/>
        </w:rPr>
        <w:t>פסק הדין של בית הדין לעררים ניתן בשעה 21:15 וקבע כי הסמכות</w:t>
      </w:r>
      <w:r w:rsidR="00575872">
        <w:rPr>
          <w:rFonts w:ascii="Arial" w:hAnsi="Arial" w:hint="cs"/>
          <w:noProof w:val="0"/>
          <w:rtl/>
        </w:rPr>
        <w:t xml:space="preserve"> המקומית נתונה לבית הדין לעררים בירושלים,</w:t>
      </w:r>
      <w:r w:rsidRPr="00A41FC0">
        <w:rPr>
          <w:rFonts w:ascii="Arial" w:hAnsi="Arial"/>
          <w:noProof w:val="0"/>
          <w:rtl/>
        </w:rPr>
        <w:t xml:space="preserve"> וכי ההחלטה אינה חורגת ממתחם הסבירות, ודאי שלא באופן קיצוני, ודחה את הערר. בית הדין לעררים ביסס את פסק דינו על הסמכות הרחבה של שר הפנים לסרב כניסתם של זרים וממצאי החיפוש בטלפון הנייד של המערערת במהלך התשאול </w:t>
      </w:r>
      <w:r w:rsidR="0023309C">
        <w:rPr>
          <w:rFonts w:ascii="Arial" w:hAnsi="Arial" w:hint="cs"/>
          <w:noProof w:val="0"/>
          <w:rtl/>
        </w:rPr>
        <w:t>ועל</w:t>
      </w:r>
      <w:r w:rsidRPr="00A41FC0">
        <w:rPr>
          <w:rFonts w:ascii="Arial" w:hAnsi="Arial"/>
          <w:noProof w:val="0"/>
          <w:rtl/>
        </w:rPr>
        <w:t xml:space="preserve"> עברה של אמה של המערערת אשר שהתה בעבר בישראל שלא כדין וגורשה. עוד צוין בפסק הדין כי בהיות המערערים תושבי פולין שם מרכז חייהם והם צפויים לקבל בה אזרחות בקרוב, לא ייגרם להם נזק מחזרה לשם "</w:t>
      </w:r>
      <w:r w:rsidRPr="00A41FC0">
        <w:rPr>
          <w:rFonts w:ascii="Arial" w:hAnsi="Arial"/>
          <w:b/>
          <w:bCs/>
          <w:noProof w:val="0"/>
          <w:rtl/>
        </w:rPr>
        <w:t>מעבר לעגמת הנפש הזמנית הכרוכה מטיבה בהעדר המפגש בימים אלו עם קרובי משפחתם בישראל לצורך חגיגות השנה האזרחית החדשה על ידם</w:t>
      </w:r>
      <w:r w:rsidRPr="00A41FC0">
        <w:rPr>
          <w:rFonts w:ascii="Arial" w:hAnsi="Arial"/>
          <w:noProof w:val="0"/>
          <w:rtl/>
        </w:rPr>
        <w:t xml:space="preserve">". </w:t>
      </w:r>
    </w:p>
    <w:p w:rsidR="00A41FC0" w:rsidRPr="00A41FC0" w:rsidRDefault="00A41FC0" w:rsidP="00A41FC0">
      <w:pPr>
        <w:spacing w:line="360" w:lineRule="auto"/>
        <w:contextualSpacing/>
        <w:jc w:val="both"/>
        <w:rPr>
          <w:rFonts w:ascii="Arial" w:hAnsi="Arial"/>
          <w:noProof w:val="0"/>
          <w:rtl/>
        </w:rPr>
      </w:pPr>
    </w:p>
    <w:p w:rsidR="00A41FC0" w:rsidRPr="00A41FC0" w:rsidRDefault="00A41FC0" w:rsidP="00575872">
      <w:pPr>
        <w:spacing w:line="360" w:lineRule="auto"/>
        <w:contextualSpacing/>
        <w:jc w:val="both"/>
        <w:rPr>
          <w:rFonts w:ascii="Arial" w:hAnsi="Arial"/>
          <w:noProof w:val="0"/>
          <w:rtl/>
        </w:rPr>
      </w:pPr>
      <w:r w:rsidRPr="00A41FC0">
        <w:rPr>
          <w:rFonts w:ascii="Arial" w:hAnsi="Arial"/>
          <w:noProof w:val="0"/>
          <w:rtl/>
        </w:rPr>
        <w:t xml:space="preserve">בערב יום 31.12.2022, </w:t>
      </w:r>
      <w:r w:rsidR="00575872">
        <w:rPr>
          <w:rFonts w:ascii="Arial" w:hAnsi="Arial" w:hint="cs"/>
          <w:noProof w:val="0"/>
          <w:rtl/>
        </w:rPr>
        <w:t>במקום להיפגש עם קרוביהם ולחג</w:t>
      </w:r>
      <w:r w:rsidR="00DB5F50">
        <w:rPr>
          <w:rFonts w:ascii="Arial" w:hAnsi="Arial" w:hint="cs"/>
          <w:noProof w:val="0"/>
          <w:rtl/>
        </w:rPr>
        <w:t xml:space="preserve">וג עמם את </w:t>
      </w:r>
      <w:r w:rsidRPr="00A41FC0">
        <w:rPr>
          <w:rFonts w:ascii="Arial" w:hAnsi="Arial"/>
          <w:noProof w:val="0"/>
          <w:rtl/>
        </w:rPr>
        <w:t>חגיגות השנה האזרחית החדשה, שבו המערערים לפולין. ביום 04.01.23 הוגש הערעור שלפניי. ביום 31.05.23 התקיים דיון בערעור, ובו טענו הצדדים בעל-פה להשלמת טיעוניהם בכתב.</w:t>
      </w:r>
    </w:p>
    <w:p w:rsidR="00A41FC0" w:rsidRPr="00A41FC0" w:rsidRDefault="00A41FC0" w:rsidP="00A41FC0">
      <w:pPr>
        <w:spacing w:line="360" w:lineRule="auto"/>
        <w:contextualSpacing/>
        <w:jc w:val="both"/>
        <w:rPr>
          <w:rFonts w:ascii="Arial" w:hAnsi="Arial"/>
          <w:noProof w:val="0"/>
          <w:rtl/>
        </w:rPr>
      </w:pPr>
    </w:p>
    <w:p w:rsidR="00A41FC0" w:rsidRPr="00A41FC0" w:rsidRDefault="00A41FC0" w:rsidP="00A41FC0">
      <w:pPr>
        <w:spacing w:line="360" w:lineRule="auto"/>
        <w:contextualSpacing/>
        <w:jc w:val="both"/>
        <w:rPr>
          <w:rFonts w:ascii="Arial" w:hAnsi="Arial"/>
          <w:b/>
          <w:bCs/>
          <w:noProof w:val="0"/>
          <w:u w:val="single"/>
          <w:rtl/>
        </w:rPr>
      </w:pPr>
      <w:r w:rsidRPr="00A41FC0">
        <w:rPr>
          <w:rFonts w:ascii="Arial" w:hAnsi="Arial"/>
          <w:b/>
          <w:bCs/>
          <w:noProof w:val="0"/>
          <w:u w:val="single"/>
          <w:rtl/>
        </w:rPr>
        <w:t>תמצית נימוקי הצדדים</w:t>
      </w:r>
    </w:p>
    <w:p w:rsidR="00A41FC0" w:rsidRPr="00A41FC0" w:rsidRDefault="00A41FC0" w:rsidP="00A41FC0">
      <w:pPr>
        <w:spacing w:line="360" w:lineRule="auto"/>
        <w:contextualSpacing/>
        <w:jc w:val="both"/>
        <w:rPr>
          <w:rFonts w:ascii="Arial" w:hAnsi="Arial"/>
          <w:noProof w:val="0"/>
          <w:u w:val="single"/>
          <w:rtl/>
        </w:rPr>
      </w:pPr>
      <w:r w:rsidRPr="00A41FC0">
        <w:rPr>
          <w:rFonts w:ascii="Arial" w:hAnsi="Arial"/>
          <w:noProof w:val="0"/>
          <w:u w:val="single"/>
          <w:rtl/>
        </w:rPr>
        <w:t>נימוקי המערערים</w:t>
      </w:r>
    </w:p>
    <w:p w:rsidR="00A41FC0" w:rsidRPr="00A41FC0" w:rsidRDefault="00A41FC0" w:rsidP="0023309C">
      <w:pPr>
        <w:numPr>
          <w:ilvl w:val="0"/>
          <w:numId w:val="1"/>
        </w:numPr>
        <w:spacing w:before="240" w:line="360" w:lineRule="auto"/>
        <w:contextualSpacing/>
        <w:jc w:val="both"/>
        <w:rPr>
          <w:rFonts w:ascii="Arial" w:hAnsi="Arial"/>
          <w:noProof w:val="0"/>
          <w:rtl/>
        </w:rPr>
      </w:pPr>
      <w:r w:rsidRPr="00A41FC0">
        <w:rPr>
          <w:rFonts w:ascii="Arial" w:hAnsi="Arial"/>
          <w:noProof w:val="0"/>
          <w:rtl/>
        </w:rPr>
        <w:t xml:space="preserve">המערערים טוענים כי הסמכות המקומית נתונה לבית הדין ולבית המשפט המחוזי בתל אביב, בהתאם לכללי הסמכות המקומית לפי מקום מסירת ההחלטה בנתב"ג ובהתאם לכללים שנקבעו ברע"מ 26205-09-22 </w:t>
      </w:r>
      <w:r w:rsidRPr="00A41FC0">
        <w:rPr>
          <w:rFonts w:ascii="David" w:hAnsi="David"/>
          <w:b/>
          <w:bCs/>
          <w:noProof w:val="0"/>
        </w:rPr>
        <w:t>Tetiana Tikhomirova</w:t>
      </w:r>
      <w:r w:rsidRPr="00A41FC0">
        <w:rPr>
          <w:rFonts w:ascii="David" w:hAnsi="David"/>
          <w:b/>
          <w:bCs/>
          <w:noProof w:val="0"/>
          <w:rtl/>
        </w:rPr>
        <w:t xml:space="preserve"> נ' רשות האוכלוסין וההגירה</w:t>
      </w:r>
      <w:r w:rsidRPr="00A41FC0">
        <w:rPr>
          <w:rFonts w:ascii="Arial" w:hAnsi="Arial"/>
          <w:noProof w:val="0"/>
          <w:rtl/>
        </w:rPr>
        <w:t xml:space="preserve"> (נבו, 19.09.22 להלן: </w:t>
      </w:r>
      <w:r w:rsidRPr="00A41FC0">
        <w:rPr>
          <w:rFonts w:ascii="Arial" w:hAnsi="Arial"/>
          <w:b/>
          <w:bCs/>
          <w:noProof w:val="0"/>
          <w:rtl/>
        </w:rPr>
        <w:t>עניין טיכומירובה</w:t>
      </w:r>
      <w:r w:rsidRPr="00A41FC0">
        <w:rPr>
          <w:rFonts w:ascii="Arial" w:hAnsi="Arial"/>
          <w:noProof w:val="0"/>
          <w:rtl/>
        </w:rPr>
        <w:t xml:space="preserve">). המערערים טוענים עוד, כי על </w:t>
      </w:r>
      <w:r w:rsidR="0029232D">
        <w:rPr>
          <w:rFonts w:ascii="Arial" w:hAnsi="Arial"/>
          <w:noProof w:val="0"/>
          <w:rtl/>
        </w:rPr>
        <w:t>אף ששבו לפולין ולא נכנסו לישראל</w:t>
      </w:r>
      <w:r w:rsidR="0029232D">
        <w:rPr>
          <w:rFonts w:ascii="Arial" w:hAnsi="Arial" w:hint="cs"/>
          <w:noProof w:val="0"/>
          <w:rtl/>
        </w:rPr>
        <w:t>,</w:t>
      </w:r>
      <w:r w:rsidRPr="00A41FC0">
        <w:rPr>
          <w:rFonts w:ascii="Arial" w:hAnsi="Arial"/>
          <w:noProof w:val="0"/>
          <w:rtl/>
        </w:rPr>
        <w:t xml:space="preserve"> הערעור אינו תיאורטי משום שלסירוב כניסתם יש השפעות מרחיקות לכת על אפשרות הכניסה שלהם לישראל בעתיד, ובפרט שהם פטורים מאשרת כניסה (ויזה) הן כאזרחי פולין בעתיד הן כאזרחי אוקראינה בהווה. </w:t>
      </w:r>
    </w:p>
    <w:p w:rsidR="00A41FC0" w:rsidRPr="00A41FC0" w:rsidRDefault="00A41FC0" w:rsidP="00A41FC0">
      <w:pPr>
        <w:spacing w:line="360" w:lineRule="auto"/>
        <w:contextualSpacing/>
        <w:jc w:val="both"/>
        <w:rPr>
          <w:rFonts w:ascii="Arial" w:hAnsi="Arial"/>
          <w:noProof w:val="0"/>
          <w:rtl/>
        </w:rPr>
      </w:pPr>
    </w:p>
    <w:p w:rsidR="00A41FC0" w:rsidRPr="00A41FC0" w:rsidRDefault="00A41FC0" w:rsidP="00DB5F50">
      <w:pPr>
        <w:numPr>
          <w:ilvl w:val="0"/>
          <w:numId w:val="1"/>
        </w:numPr>
        <w:spacing w:before="240" w:line="360" w:lineRule="auto"/>
        <w:contextualSpacing/>
        <w:jc w:val="both"/>
        <w:rPr>
          <w:rFonts w:ascii="Arial" w:hAnsi="Arial"/>
          <w:noProof w:val="0"/>
          <w:rtl/>
        </w:rPr>
      </w:pPr>
      <w:r w:rsidRPr="00A41FC0">
        <w:rPr>
          <w:rFonts w:ascii="Arial" w:hAnsi="Arial"/>
          <w:noProof w:val="0"/>
          <w:rtl/>
        </w:rPr>
        <w:lastRenderedPageBreak/>
        <w:t xml:space="preserve">לגופו של עניין טוענים המערערים כי היה מקום להתיר את כניסתם לישראל, וכי החלטת הסרוב נשענת רובה ככולה על ראיות פסולות שהושגו בניגוד חמור לדין, לאחר חיפוש שלא כדין בטלפונים שלהם, ושבשלן שיערה הרשות השערות בלתי מבוססות לגבי חשש להשתקעות. בדיון </w:t>
      </w:r>
      <w:r w:rsidR="0008458B">
        <w:rPr>
          <w:rFonts w:ascii="Arial" w:hAnsi="Arial" w:hint="cs"/>
          <w:noProof w:val="0"/>
          <w:rtl/>
        </w:rPr>
        <w:t>עמד</w:t>
      </w:r>
      <w:r w:rsidRPr="00A41FC0">
        <w:rPr>
          <w:rFonts w:ascii="Arial" w:hAnsi="Arial"/>
          <w:noProof w:val="0"/>
          <w:rtl/>
        </w:rPr>
        <w:t xml:space="preserve"> ב"כ המערערים על טענתם בדבר הפגיעה הקשה בפרטיות המערערת בקשר עם החיפוש שנעשה בטלפון הנייד שלה במהלך התשאול, שלא בהסכמתה כדין, כך ש"</w:t>
      </w:r>
      <w:r w:rsidRPr="00A41FC0">
        <w:rPr>
          <w:rFonts w:ascii="Arial" w:hAnsi="Arial"/>
          <w:b/>
          <w:bCs/>
          <w:noProof w:val="0"/>
          <w:rtl/>
        </w:rPr>
        <w:t>פקיד די זוטר עם הסמכה שאינה משפטית, יכול לקחת כראות עיניו, ללא נימוק את הטלפון ולגלול בו – תמונות, אולי דברים מעניינים וכו'. הכל ללא ביקורת וללא אישור</w:t>
      </w:r>
      <w:r w:rsidRPr="00A41FC0">
        <w:rPr>
          <w:rFonts w:ascii="Arial" w:hAnsi="Arial"/>
          <w:noProof w:val="0"/>
          <w:rtl/>
        </w:rPr>
        <w:t>" (</w:t>
      </w:r>
      <w:r w:rsidR="00510ADC">
        <w:rPr>
          <w:rFonts w:ascii="Arial" w:hAnsi="Arial" w:hint="cs"/>
          <w:noProof w:val="0"/>
          <w:rtl/>
        </w:rPr>
        <w:t xml:space="preserve">עמ' </w:t>
      </w:r>
      <w:r w:rsidRPr="00A41FC0">
        <w:rPr>
          <w:rFonts w:ascii="Arial" w:hAnsi="Arial"/>
          <w:noProof w:val="0"/>
          <w:rtl/>
        </w:rPr>
        <w:t>4 לפרוטוקול, ש' 21-19). ב"כ המערערים הוסיף וטען כי גם לפי דו"ח התשאול, שהתקבל רק לאחר הגשת הערר והגשת תשובת הרשות במסגרתו "</w:t>
      </w:r>
      <w:r w:rsidRPr="00A41FC0">
        <w:rPr>
          <w:rFonts w:ascii="Arial" w:hAnsi="Arial"/>
          <w:b/>
          <w:bCs/>
          <w:noProof w:val="0"/>
          <w:rtl/>
        </w:rPr>
        <w:t>הריאיון לא העלה שום סיבה להמשיך בבדיקה פולשנית וחיטוט בטלפון הנייד</w:t>
      </w:r>
      <w:r w:rsidRPr="00A41FC0">
        <w:rPr>
          <w:rFonts w:ascii="Arial" w:hAnsi="Arial"/>
          <w:noProof w:val="0"/>
          <w:rtl/>
        </w:rPr>
        <w:t>", והוסיף כי "</w:t>
      </w:r>
      <w:r w:rsidRPr="00A41FC0">
        <w:rPr>
          <w:rFonts w:ascii="Arial" w:hAnsi="Arial"/>
          <w:b/>
          <w:bCs/>
          <w:noProof w:val="0"/>
          <w:rtl/>
        </w:rPr>
        <w:t>כל העולם של אדם וחייו האישיים מצוי בהודעות, תמונות, ווטסאפים, חיפושים באינטרנט וכו'</w:t>
      </w:r>
      <w:r w:rsidRPr="00A41FC0">
        <w:rPr>
          <w:rFonts w:ascii="Arial" w:hAnsi="Arial"/>
          <w:noProof w:val="0"/>
          <w:rtl/>
        </w:rPr>
        <w:t>", לטענת המערערים הפגיעה החמורה בפרטיות בנסיבות אלה מצדיקה אף היא את קבלת הערעור.</w:t>
      </w:r>
    </w:p>
    <w:p w:rsidR="00A41FC0" w:rsidRPr="00A41FC0" w:rsidRDefault="00A41FC0" w:rsidP="00A41FC0">
      <w:pPr>
        <w:spacing w:line="360" w:lineRule="auto"/>
        <w:contextualSpacing/>
        <w:jc w:val="both"/>
        <w:rPr>
          <w:rFonts w:ascii="Arial" w:hAnsi="Arial"/>
          <w:noProof w:val="0"/>
          <w:rtl/>
        </w:rPr>
      </w:pPr>
    </w:p>
    <w:p w:rsidR="00A41FC0" w:rsidRPr="00A41FC0" w:rsidRDefault="00A41FC0" w:rsidP="00100F6D">
      <w:pPr>
        <w:numPr>
          <w:ilvl w:val="0"/>
          <w:numId w:val="1"/>
        </w:numPr>
        <w:spacing w:before="240" w:line="360" w:lineRule="auto"/>
        <w:contextualSpacing/>
        <w:jc w:val="both"/>
        <w:rPr>
          <w:rFonts w:ascii="Arial" w:hAnsi="Arial"/>
          <w:noProof w:val="0"/>
          <w:rtl/>
        </w:rPr>
      </w:pPr>
      <w:r w:rsidRPr="00A41FC0">
        <w:rPr>
          <w:rFonts w:ascii="Arial" w:hAnsi="Arial"/>
          <w:noProof w:val="0"/>
          <w:rtl/>
        </w:rPr>
        <w:t>ב"כ המערערים התייחס בדבריו גם לפגיעה באינטרס הציבורי, בתדמית של ישראל בעולם, בעסקים ועוד, ולפערי הידע והכוחות בין המתושאלים לבין פקידי הרשות, והוסיף: "</w:t>
      </w:r>
      <w:r w:rsidRPr="00A41FC0">
        <w:rPr>
          <w:rFonts w:ascii="Arial" w:hAnsi="Arial"/>
          <w:b/>
          <w:bCs/>
          <w:noProof w:val="0"/>
          <w:rtl/>
        </w:rPr>
        <w:t>היה מצופה מנוהל לומר למי יש סמכות לדרוש, באיזה נסיבות, מה מעורר חשש, כיצד נעשית הפעלת הסמכות ובאמצעות המבקש/בנוכחות/בהסכמה, האם הובהרה משמעות היעדר הסכמה, האם המשמעות היא גירוש מייד, מניעת כניסה ל-5 שנים וכו'. בלי הנתונים הבסיסיים האלה לא ניתן לתת הסכמה מדעת ובוודאי שלא לסרב</w:t>
      </w:r>
      <w:r w:rsidRPr="00A41FC0">
        <w:rPr>
          <w:rFonts w:ascii="Arial" w:hAnsi="Arial"/>
          <w:noProof w:val="0"/>
          <w:rtl/>
        </w:rPr>
        <w:t xml:space="preserve">" (פרוטוקול עמ' 4 ש' 28-31). המערערים טוענים כי יש </w:t>
      </w:r>
      <w:r w:rsidR="0008458B">
        <w:rPr>
          <w:rFonts w:ascii="Arial" w:hAnsi="Arial" w:hint="cs"/>
          <w:noProof w:val="0"/>
          <w:rtl/>
        </w:rPr>
        <w:t xml:space="preserve">לאסור על הרשות לערוך חיפוש בטלפונים </w:t>
      </w:r>
      <w:r w:rsidR="00100F6D">
        <w:rPr>
          <w:rFonts w:ascii="Arial" w:hAnsi="Arial" w:hint="cs"/>
          <w:noProof w:val="0"/>
          <w:rtl/>
        </w:rPr>
        <w:t>ניידים</w:t>
      </w:r>
      <w:r w:rsidR="0008458B">
        <w:rPr>
          <w:rFonts w:ascii="Arial" w:hAnsi="Arial" w:hint="cs"/>
          <w:noProof w:val="0"/>
          <w:rtl/>
        </w:rPr>
        <w:t xml:space="preserve"> של המבקשים להיכנס לישראל, דוגמת המערערים, וכן </w:t>
      </w:r>
      <w:r w:rsidRPr="00A41FC0">
        <w:rPr>
          <w:rFonts w:ascii="Arial" w:hAnsi="Arial"/>
          <w:noProof w:val="0"/>
          <w:rtl/>
        </w:rPr>
        <w:t>להורות לרשות לקבוע נוהל ברור ומוסדר לחיפוש בטלפונים ניידים במסגרת תשאול והחלטות לגבי זרים המבקשים להיכנס בשער הכניסה לישראל, ולעגן את חובתה לקבל הסכמה מדעת טרם החיפוש.</w:t>
      </w:r>
    </w:p>
    <w:p w:rsidR="00A41FC0" w:rsidRPr="00A41FC0" w:rsidRDefault="00A41FC0" w:rsidP="00A41FC0">
      <w:pPr>
        <w:spacing w:line="360" w:lineRule="auto"/>
        <w:contextualSpacing/>
        <w:jc w:val="both"/>
        <w:rPr>
          <w:rFonts w:eastAsia="Calibri"/>
          <w:rtl/>
        </w:rPr>
      </w:pPr>
    </w:p>
    <w:p w:rsidR="00A41FC0" w:rsidRPr="00A41FC0" w:rsidRDefault="00A41FC0" w:rsidP="00A41FC0">
      <w:pPr>
        <w:numPr>
          <w:ilvl w:val="0"/>
          <w:numId w:val="1"/>
        </w:numPr>
        <w:spacing w:before="240" w:line="360" w:lineRule="auto"/>
        <w:contextualSpacing/>
        <w:jc w:val="both"/>
        <w:rPr>
          <w:rFonts w:ascii="Arial" w:hAnsi="Arial"/>
          <w:noProof w:val="0"/>
          <w:rtl/>
        </w:rPr>
      </w:pPr>
      <w:r w:rsidRPr="00A41FC0">
        <w:rPr>
          <w:rFonts w:ascii="Arial" w:hAnsi="Arial"/>
          <w:noProof w:val="0"/>
          <w:rtl/>
        </w:rPr>
        <w:t>ב"כ המערערים טען עוד לגבי התשאול והחתמת המערערים על הסכמה לעזיבה מרצון בטיסה הקרובה: "</w:t>
      </w:r>
      <w:r w:rsidRPr="00A41FC0">
        <w:rPr>
          <w:rFonts w:ascii="Arial" w:hAnsi="Arial"/>
          <w:b/>
          <w:bCs/>
          <w:noProof w:val="0"/>
          <w:rtl/>
        </w:rPr>
        <w:t>כל הדבר הזה במחשכים ולא תועד כמו שצריך – לא בצילום, לא במסמך שמסביר את הזכויות עליהם חותמים, והכל מול אוכלוסייה פגיעה, שלא יודעת את השפה, אין לה זכות כניסה, יש מלחמה באוקראינה ולכן כפי שטענו בבג"צ תומר ורשה זה משליך גם ההחלטות המנהליות בעניין</w:t>
      </w:r>
      <w:r w:rsidRPr="00A41FC0">
        <w:rPr>
          <w:rFonts w:ascii="Arial" w:hAnsi="Arial"/>
          <w:noProof w:val="0"/>
          <w:rtl/>
        </w:rPr>
        <w:t xml:space="preserve">" (עמ' 3 לפרוטוקול, ש' 6-3). </w:t>
      </w:r>
    </w:p>
    <w:p w:rsidR="00A41FC0" w:rsidRPr="00A41FC0" w:rsidRDefault="00A41FC0" w:rsidP="00A41FC0">
      <w:pPr>
        <w:spacing w:line="360" w:lineRule="auto"/>
        <w:contextualSpacing/>
        <w:jc w:val="both"/>
        <w:rPr>
          <w:rFonts w:ascii="Arial" w:hAnsi="Arial"/>
          <w:noProof w:val="0"/>
          <w:rtl/>
        </w:rPr>
      </w:pPr>
    </w:p>
    <w:p w:rsidR="00A41FC0" w:rsidRPr="00A41FC0" w:rsidRDefault="00A41FC0" w:rsidP="00A41FC0">
      <w:pPr>
        <w:numPr>
          <w:ilvl w:val="0"/>
          <w:numId w:val="1"/>
        </w:numPr>
        <w:spacing w:before="240" w:line="360" w:lineRule="auto"/>
        <w:contextualSpacing/>
        <w:jc w:val="both"/>
        <w:rPr>
          <w:rFonts w:ascii="Arial" w:hAnsi="Arial"/>
          <w:noProof w:val="0"/>
          <w:rtl/>
        </w:rPr>
      </w:pPr>
      <w:r w:rsidRPr="00A41FC0">
        <w:rPr>
          <w:rFonts w:ascii="Arial" w:hAnsi="Arial"/>
          <w:noProof w:val="0"/>
          <w:rtl/>
        </w:rPr>
        <w:t xml:space="preserve">המערערים טוענים כי בנוסף לעצם החיפוש הלא חוקי בטלפון של המערערת, גם המסקנה בדבר חשש להשתקעות שגויה לגופה. ראשית, המסקנה שגויה לטענתם, בשל ביסוס החשש על הממצא היחיד שנמצא בחיפוש הלא חוקי בטלפון, אשר יוחס לו משקל יתר. שנית, המסקנה שגויה בשל תאריך המסרון שבניגוד לטענת הרשות, נשלח מאמה של המערערת בשנת 2020 ולא סמוך לנסיעה. ושלישית, לטענת המערערים המסקנה שגויה גם בשל ייחוס נסיבות חייה של האם (ששהתה בישראל שלא כדין והורחקה ממנה שש שנים קודם לכן, ועתה היא נמצאת כאן כדין </w:t>
      </w:r>
      <w:r w:rsidRPr="00A41FC0">
        <w:rPr>
          <w:rFonts w:ascii="Arial" w:hAnsi="Arial"/>
          <w:noProof w:val="0"/>
          <w:rtl/>
        </w:rPr>
        <w:lastRenderedPageBreak/>
        <w:t xml:space="preserve">במסגרת הליך לקבלת מעמד מכח נישואיה לישראלי) למערערת, שלא אחראית לכך, ובעצמה לא שהתה בישראל שלא כדין מעולם. בדיון הוסיף ב"כ המערערים כי אמה של המערערת קיבלה לאחרונה תושבות ישראלית במסגרת ההליך המדורג מכח נישואיה לבן זוגה הישראלי. </w:t>
      </w:r>
    </w:p>
    <w:p w:rsidR="00A41FC0" w:rsidRPr="00A41FC0" w:rsidRDefault="00A41FC0" w:rsidP="00A41FC0">
      <w:pPr>
        <w:spacing w:line="360" w:lineRule="auto"/>
        <w:contextualSpacing/>
        <w:jc w:val="both"/>
        <w:rPr>
          <w:rFonts w:ascii="Arial" w:hAnsi="Arial"/>
          <w:noProof w:val="0"/>
          <w:rtl/>
        </w:rPr>
      </w:pPr>
    </w:p>
    <w:p w:rsidR="00A41FC0" w:rsidRPr="00A41FC0" w:rsidRDefault="00A41FC0" w:rsidP="00A41FC0">
      <w:pPr>
        <w:numPr>
          <w:ilvl w:val="0"/>
          <w:numId w:val="1"/>
        </w:numPr>
        <w:spacing w:before="240" w:line="360" w:lineRule="auto"/>
        <w:contextualSpacing/>
        <w:jc w:val="both"/>
        <w:rPr>
          <w:rFonts w:ascii="Arial" w:hAnsi="Arial"/>
          <w:noProof w:val="0"/>
          <w:rtl/>
        </w:rPr>
      </w:pPr>
      <w:r w:rsidRPr="00A41FC0">
        <w:rPr>
          <w:rFonts w:ascii="Arial" w:hAnsi="Arial"/>
          <w:noProof w:val="0"/>
          <w:rtl/>
        </w:rPr>
        <w:t>המערערים טוענים בנוסף, כי המסקנה בדבר חשש להשתקעות שגויה גם במנותק מממצאי החיפוש הלא חוקי. לטענתם, חייהם בפולין יציבים והם עתידים לקבל שם אזרחות בקרוב, והם אינם מבקשים להחליף את חייהם המוסדרים שם בחיים ללא מעמד מוסדר כאן, זאת, כפי שהוסבר מראש במכתבו של בן הזוג של אם המערערת שהזמין אותם להתארח בחופשה. המערערים טוענים כי מכתב זה הוכן למעלה מן הנדרש שכן לשיטתם כאזרחי אוקראינה המתעתדים להיות בקרוב אזרחי פולין, הם אינם זקוקים כלל לאשרת כניסה לישראל. בנוסף, היו ברשותם כרטיסי טיסה חזור ליום 06.01.23, והם היו מוכנים להפקיד ערבות בסך 50,000 ₪ להבטחת יציאתם עם סיום הביקור המשפחתי הקצר, וגם משום כך החלטת הס</w:t>
      </w:r>
      <w:r w:rsidR="00E17141">
        <w:rPr>
          <w:rFonts w:ascii="Arial" w:hAnsi="Arial" w:hint="cs"/>
          <w:noProof w:val="0"/>
          <w:rtl/>
        </w:rPr>
        <w:t>י</w:t>
      </w:r>
      <w:r w:rsidRPr="00A41FC0">
        <w:rPr>
          <w:rFonts w:ascii="Arial" w:hAnsi="Arial"/>
          <w:noProof w:val="0"/>
          <w:rtl/>
        </w:rPr>
        <w:t>רוב היתה שגויה.</w:t>
      </w:r>
    </w:p>
    <w:p w:rsidR="00A41FC0" w:rsidRPr="00A41FC0" w:rsidRDefault="00A41FC0" w:rsidP="00A41FC0">
      <w:pPr>
        <w:spacing w:line="360" w:lineRule="auto"/>
        <w:contextualSpacing/>
        <w:jc w:val="both"/>
        <w:rPr>
          <w:rFonts w:ascii="Arial" w:hAnsi="Arial"/>
          <w:noProof w:val="0"/>
          <w:rtl/>
        </w:rPr>
      </w:pPr>
    </w:p>
    <w:p w:rsidR="00A41FC0" w:rsidRPr="00A41FC0" w:rsidRDefault="00A41FC0" w:rsidP="00A41FC0">
      <w:pPr>
        <w:numPr>
          <w:ilvl w:val="0"/>
          <w:numId w:val="1"/>
        </w:numPr>
        <w:spacing w:before="240" w:line="360" w:lineRule="auto"/>
        <w:contextualSpacing/>
        <w:jc w:val="both"/>
        <w:rPr>
          <w:rFonts w:ascii="Arial" w:hAnsi="Arial"/>
          <w:noProof w:val="0"/>
          <w:rtl/>
        </w:rPr>
      </w:pPr>
      <w:r w:rsidRPr="00A41FC0">
        <w:rPr>
          <w:rFonts w:ascii="Arial" w:hAnsi="Arial"/>
          <w:noProof w:val="0"/>
          <w:rtl/>
        </w:rPr>
        <w:t xml:space="preserve">לטענת המערערים, בנוסף לנזק שנגרם להם בעצם מניעת הפגישה עם קרובי משפחתם (שאינו מתמצה בעגמת נפש זמנית בלבד כפי שנפסק), נגרם להם נזק גם מהפגיעה בפרטיותם, מהחזקתם שלא לצורך במתקן המסורבים, ומההשלכות העתידיות באשר לכניסתם לישראל בעתיד. </w:t>
      </w:r>
    </w:p>
    <w:p w:rsidR="00A41FC0" w:rsidRPr="00A41FC0" w:rsidRDefault="00A41FC0" w:rsidP="00A41FC0">
      <w:pPr>
        <w:spacing w:line="360" w:lineRule="auto"/>
        <w:contextualSpacing/>
        <w:jc w:val="both"/>
        <w:rPr>
          <w:rFonts w:ascii="Arial" w:hAnsi="Arial"/>
          <w:noProof w:val="0"/>
          <w:rtl/>
        </w:rPr>
      </w:pPr>
    </w:p>
    <w:p w:rsidR="00A41FC0" w:rsidRPr="00A41FC0" w:rsidRDefault="00A41FC0" w:rsidP="00A41FC0">
      <w:pPr>
        <w:spacing w:line="360" w:lineRule="auto"/>
        <w:contextualSpacing/>
        <w:jc w:val="both"/>
        <w:rPr>
          <w:rFonts w:eastAsia="Calibri"/>
          <w:u w:val="single"/>
          <w:rtl/>
        </w:rPr>
      </w:pPr>
      <w:r w:rsidRPr="00A41FC0">
        <w:rPr>
          <w:rFonts w:eastAsia="Calibri"/>
          <w:u w:val="single"/>
          <w:rtl/>
        </w:rPr>
        <w:t>טיעוני הרשות</w:t>
      </w:r>
    </w:p>
    <w:p w:rsidR="00A41FC0" w:rsidRPr="00A41FC0" w:rsidRDefault="00A41FC0" w:rsidP="00DB5F50">
      <w:pPr>
        <w:numPr>
          <w:ilvl w:val="0"/>
          <w:numId w:val="1"/>
        </w:numPr>
        <w:spacing w:before="240" w:line="360" w:lineRule="auto"/>
        <w:contextualSpacing/>
        <w:jc w:val="both"/>
        <w:rPr>
          <w:rFonts w:ascii="Arial" w:hAnsi="Arial"/>
          <w:noProof w:val="0"/>
          <w:rtl/>
        </w:rPr>
      </w:pPr>
      <w:r w:rsidRPr="00A41FC0">
        <w:rPr>
          <w:rFonts w:ascii="Arial" w:hAnsi="Arial"/>
          <w:noProof w:val="0"/>
          <w:rtl/>
        </w:rPr>
        <w:t>תגובת הרשות הוגשה ביום 01.05.23. בתגובה נטען אך ורק כי הסמכות המקומית לדון בערעור נתונה לבית המשפט לעניינים מנהליים בירושלים, בשל</w:t>
      </w:r>
      <w:r w:rsidR="00DB5F50">
        <w:rPr>
          <w:rFonts w:ascii="Arial" w:hAnsi="Arial" w:hint="cs"/>
          <w:noProof w:val="0"/>
          <w:rtl/>
        </w:rPr>
        <w:t xml:space="preserve"> כך ש</w:t>
      </w:r>
      <w:r w:rsidRPr="00A41FC0">
        <w:rPr>
          <w:rFonts w:ascii="Arial" w:hAnsi="Arial"/>
          <w:noProof w:val="0"/>
          <w:rtl/>
        </w:rPr>
        <w:t xml:space="preserve">פסק הדין נשוא הערעור </w:t>
      </w:r>
      <w:r w:rsidR="00DB5F50">
        <w:rPr>
          <w:rFonts w:ascii="Arial" w:hAnsi="Arial" w:hint="cs"/>
          <w:noProof w:val="0"/>
          <w:rtl/>
        </w:rPr>
        <w:t xml:space="preserve">ניתן </w:t>
      </w:r>
      <w:r w:rsidRPr="00A41FC0">
        <w:rPr>
          <w:rFonts w:ascii="Arial" w:hAnsi="Arial"/>
          <w:noProof w:val="0"/>
          <w:rtl/>
        </w:rPr>
        <w:t>על ידי בית הדין לעררים בירושלים</w:t>
      </w:r>
      <w:r w:rsidR="0008458B">
        <w:rPr>
          <w:rFonts w:ascii="Arial" w:hAnsi="Arial" w:hint="cs"/>
          <w:noProof w:val="0"/>
          <w:rtl/>
        </w:rPr>
        <w:t xml:space="preserve"> (</w:t>
      </w:r>
      <w:r w:rsidR="00DB5F50">
        <w:rPr>
          <w:rFonts w:ascii="Arial" w:hAnsi="Arial" w:hint="cs"/>
          <w:noProof w:val="0"/>
          <w:rtl/>
        </w:rPr>
        <w:t>הרשות לא השיבה דבר לטיעוני ב"כ המערערים בנוגע ל</w:t>
      </w:r>
      <w:r w:rsidR="0008458B">
        <w:rPr>
          <w:rFonts w:ascii="Arial" w:hAnsi="Arial" w:hint="cs"/>
          <w:noProof w:val="0"/>
          <w:rtl/>
        </w:rPr>
        <w:t>חיפוש הבלתי חוקי בטלפון הנייד של המערערת).</w:t>
      </w:r>
      <w:r w:rsidRPr="00A41FC0">
        <w:rPr>
          <w:rFonts w:ascii="Arial" w:hAnsi="Arial"/>
          <w:noProof w:val="0"/>
          <w:rtl/>
        </w:rPr>
        <w:t xml:space="preserve"> הרשות ציינה בתגובה כי היא מודעת להחלטתי בעניין רע"מ 3-10-22 </w:t>
      </w:r>
      <w:r w:rsidRPr="00A41FC0">
        <w:rPr>
          <w:rFonts w:ascii="Arial" w:hAnsi="Arial"/>
          <w:b/>
          <w:bCs/>
          <w:noProof w:val="0"/>
          <w:rtl/>
        </w:rPr>
        <w:t>אלכסנדרה פבליוק נ' רשות האוכלוסין וההגירה</w:t>
      </w:r>
      <w:r w:rsidRPr="00A41FC0">
        <w:rPr>
          <w:rFonts w:ascii="Arial" w:hAnsi="Arial"/>
          <w:noProof w:val="0"/>
          <w:rtl/>
        </w:rPr>
        <w:t xml:space="preserve"> (נבו, 11.1.2023 להלן: </w:t>
      </w:r>
      <w:r w:rsidRPr="00A41FC0">
        <w:rPr>
          <w:rFonts w:ascii="Arial" w:hAnsi="Arial"/>
          <w:b/>
          <w:bCs/>
          <w:noProof w:val="0"/>
          <w:rtl/>
        </w:rPr>
        <w:t>עניין פבליוק</w:t>
      </w:r>
      <w:r w:rsidRPr="00A41FC0">
        <w:rPr>
          <w:rFonts w:ascii="Arial" w:hAnsi="Arial"/>
          <w:noProof w:val="0"/>
          <w:rtl/>
        </w:rPr>
        <w:t xml:space="preserve">), שם נקבע כי במקרים מסוימים, על אף קבלת החלטה בירושלים יתנהלו הערר והערעור בתל אביב, אך ציינה כי הגישה בקשת רשות ערעור על ההחלטה </w:t>
      </w:r>
      <w:r w:rsidRPr="00A41FC0">
        <w:rPr>
          <w:rFonts w:ascii="Arial" w:hAnsi="Arial"/>
          <w:b/>
          <w:bCs/>
          <w:noProof w:val="0"/>
          <w:rtl/>
        </w:rPr>
        <w:t>בעניין פבליוק</w:t>
      </w:r>
      <w:r w:rsidRPr="00A41FC0">
        <w:rPr>
          <w:rFonts w:ascii="Arial" w:hAnsi="Arial"/>
          <w:noProof w:val="0"/>
          <w:rtl/>
        </w:rPr>
        <w:t xml:space="preserve"> לבית המשפט העליון, שעדיין תלויה ועומדת. הרשות ביקשה כי בהעדר סמכות מקומית יסולק הערעור על הסף, ולא הגיבה דבר לגופו של עניין.</w:t>
      </w:r>
    </w:p>
    <w:p w:rsidR="00A41FC0" w:rsidRPr="00A41FC0" w:rsidRDefault="00A41FC0" w:rsidP="00A41FC0">
      <w:pPr>
        <w:spacing w:line="360" w:lineRule="auto"/>
        <w:contextualSpacing/>
        <w:jc w:val="both"/>
        <w:rPr>
          <w:rFonts w:ascii="Arial" w:hAnsi="Arial"/>
          <w:noProof w:val="0"/>
          <w:rtl/>
        </w:rPr>
      </w:pPr>
    </w:p>
    <w:p w:rsidR="00A41FC0" w:rsidRPr="00A41FC0" w:rsidRDefault="00A41FC0" w:rsidP="00DB5F50">
      <w:pPr>
        <w:numPr>
          <w:ilvl w:val="0"/>
          <w:numId w:val="1"/>
        </w:numPr>
        <w:spacing w:before="240" w:line="360" w:lineRule="auto"/>
        <w:contextualSpacing/>
        <w:jc w:val="both"/>
        <w:rPr>
          <w:rFonts w:ascii="Arial" w:hAnsi="Arial"/>
          <w:noProof w:val="0"/>
          <w:rtl/>
        </w:rPr>
      </w:pPr>
      <w:r w:rsidRPr="00A41FC0">
        <w:rPr>
          <w:rFonts w:ascii="Arial" w:hAnsi="Arial"/>
          <w:noProof w:val="0"/>
          <w:rtl/>
        </w:rPr>
        <w:t>בדיון, טען ב"כ הרשות כי הרשות עומדת על טענתה לעניין הסמכות המקומית, והוסיף כי שאלה זו תתברר בדיון שקבוע בבקשת רשות הערעור בבית משפט העליון. ב"כ הרשות חזר על טענת הרשות בדבר העדר סמכות מקומית, ותו לא (עמ' 5 לפר' ש' 20-18):</w:t>
      </w:r>
    </w:p>
    <w:p w:rsidR="00A41FC0" w:rsidRPr="00A41FC0" w:rsidRDefault="00A41FC0" w:rsidP="00A41FC0">
      <w:pPr>
        <w:ind w:left="567" w:right="567"/>
        <w:contextualSpacing/>
        <w:jc w:val="both"/>
        <w:rPr>
          <w:rFonts w:ascii="Arial" w:hAnsi="Arial"/>
          <w:b/>
          <w:bCs/>
          <w:noProof w:val="0"/>
          <w:rtl/>
        </w:rPr>
      </w:pPr>
      <w:r w:rsidRPr="00A41FC0">
        <w:rPr>
          <w:rFonts w:ascii="Arial" w:hAnsi="Arial"/>
          <w:b/>
          <w:bCs/>
          <w:noProof w:val="0"/>
          <w:rtl/>
        </w:rPr>
        <w:t xml:space="preserve">"חוזר על האמור בתגובה שהגשנו. לעמדתנו, שעה שפסק הדין התקבל בבית הדין לעררים בירושלים, גם אם לטענת המערערים שגה בית הדין בהחלטתו להעביר את הערר לדיון בירושלים, הרי שסמכות הערעור על פי תקנה 22(א) נתונה לבית משפט לעניינים מנהליים במחוז ירושלים." </w:t>
      </w:r>
    </w:p>
    <w:p w:rsidR="00A41FC0" w:rsidRPr="00A41FC0" w:rsidRDefault="00A41FC0" w:rsidP="00A41FC0">
      <w:pPr>
        <w:spacing w:line="360" w:lineRule="auto"/>
        <w:contextualSpacing/>
        <w:jc w:val="both"/>
        <w:rPr>
          <w:rFonts w:ascii="Arial" w:hAnsi="Arial"/>
          <w:noProof w:val="0"/>
          <w:rtl/>
        </w:rPr>
      </w:pPr>
    </w:p>
    <w:p w:rsidR="00A41FC0" w:rsidRPr="00A41FC0" w:rsidRDefault="00DB5F50" w:rsidP="00DB5F50">
      <w:pPr>
        <w:spacing w:line="360" w:lineRule="auto"/>
        <w:contextualSpacing/>
        <w:jc w:val="both"/>
        <w:rPr>
          <w:rFonts w:ascii="Arial" w:hAnsi="Arial"/>
          <w:noProof w:val="0"/>
          <w:rtl/>
        </w:rPr>
      </w:pPr>
      <w:r>
        <w:rPr>
          <w:rFonts w:ascii="Arial" w:hAnsi="Arial" w:hint="cs"/>
          <w:noProof w:val="0"/>
          <w:rtl/>
        </w:rPr>
        <w:lastRenderedPageBreak/>
        <w:t xml:space="preserve">לשאלת בית המשפט, הוסיף </w:t>
      </w:r>
      <w:r w:rsidR="00A41FC0" w:rsidRPr="00A41FC0">
        <w:rPr>
          <w:rFonts w:ascii="Arial" w:hAnsi="Arial"/>
          <w:noProof w:val="0"/>
          <w:rtl/>
        </w:rPr>
        <w:t xml:space="preserve">ב"כ הרשות כי </w:t>
      </w:r>
      <w:r w:rsidR="00A41FC0" w:rsidRPr="007236DA">
        <w:rPr>
          <w:rFonts w:ascii="Arial" w:hAnsi="Arial"/>
          <w:noProof w:val="0"/>
          <w:rtl/>
        </w:rPr>
        <w:t>הכנת נוהל</w:t>
      </w:r>
      <w:r w:rsidR="007236DA">
        <w:rPr>
          <w:rFonts w:ascii="Arial" w:hAnsi="Arial" w:hint="cs"/>
          <w:noProof w:val="0"/>
          <w:rtl/>
        </w:rPr>
        <w:t xml:space="preserve"> לעניין חיפוש בטלפונים</w:t>
      </w:r>
      <w:r w:rsidR="003A376F">
        <w:rPr>
          <w:rFonts w:ascii="Arial" w:hAnsi="Arial"/>
          <w:noProof w:val="0"/>
          <w:rtl/>
        </w:rPr>
        <w:t xml:space="preserve"> נמצאת בהליך עבודה</w:t>
      </w:r>
      <w:r w:rsidR="00A41FC0" w:rsidRPr="00A41FC0">
        <w:rPr>
          <w:rFonts w:ascii="Arial" w:hAnsi="Arial"/>
          <w:noProof w:val="0"/>
          <w:rtl/>
        </w:rPr>
        <w:t xml:space="preserve"> (עמ' 1 לפרוטוקול, ש' 23-22 ):</w:t>
      </w:r>
    </w:p>
    <w:p w:rsidR="00A41FC0" w:rsidRPr="00A41FC0" w:rsidRDefault="00A41FC0" w:rsidP="00A41FC0">
      <w:pPr>
        <w:ind w:left="567" w:right="567"/>
        <w:jc w:val="both"/>
        <w:rPr>
          <w:rFonts w:ascii="David" w:hAnsi="David"/>
          <w:noProof w:val="0"/>
          <w:rtl/>
        </w:rPr>
      </w:pPr>
      <w:r w:rsidRPr="00A41FC0">
        <w:rPr>
          <w:rFonts w:ascii="David" w:hAnsi="David" w:hint="cs"/>
          <w:b/>
          <w:bCs/>
          <w:noProof w:val="0"/>
          <w:rtl/>
        </w:rPr>
        <w:t>"באשר לנוהל – הרשות פועלת להכנת נוהל כאמור והוא נמצא בתהליך עבודה ואני לא יודע באיזה שלב הוא. אנחנו לא סבורים שיש לכרוך את סוגיית הנוהל לערעור דנא....</w:t>
      </w:r>
      <w:r w:rsidR="0008458B">
        <w:rPr>
          <w:rFonts w:ascii="David" w:hAnsi="David" w:hint="cs"/>
          <w:noProof w:val="0"/>
          <w:rtl/>
        </w:rPr>
        <w:t>"</w:t>
      </w:r>
    </w:p>
    <w:p w:rsidR="00A41FC0" w:rsidRPr="00A41FC0" w:rsidRDefault="00A41FC0" w:rsidP="00A41FC0">
      <w:pPr>
        <w:spacing w:line="360" w:lineRule="auto"/>
        <w:contextualSpacing/>
        <w:jc w:val="both"/>
        <w:rPr>
          <w:rFonts w:ascii="Arial" w:hAnsi="Arial"/>
          <w:noProof w:val="0"/>
          <w:rtl/>
        </w:rPr>
      </w:pPr>
    </w:p>
    <w:p w:rsidR="00A41FC0" w:rsidRPr="00A41FC0" w:rsidRDefault="00A41FC0" w:rsidP="00A41FC0">
      <w:pPr>
        <w:spacing w:line="360" w:lineRule="auto"/>
        <w:contextualSpacing/>
        <w:jc w:val="both"/>
        <w:rPr>
          <w:rFonts w:ascii="Arial" w:hAnsi="Arial"/>
          <w:noProof w:val="0"/>
          <w:rtl/>
        </w:rPr>
      </w:pPr>
      <w:r w:rsidRPr="00A41FC0">
        <w:rPr>
          <w:rFonts w:ascii="Arial" w:hAnsi="Arial"/>
          <w:noProof w:val="0"/>
          <w:rtl/>
        </w:rPr>
        <w:t>ולאחר התייעצות טלפונית הוסיף (עמ' 2 לפר' ש' 7-3):</w:t>
      </w:r>
    </w:p>
    <w:p w:rsidR="00A41FC0" w:rsidRPr="00A41FC0" w:rsidRDefault="00A41FC0" w:rsidP="00A41FC0">
      <w:pPr>
        <w:ind w:left="567" w:right="567"/>
        <w:jc w:val="both"/>
        <w:rPr>
          <w:rFonts w:ascii="David" w:hAnsi="David"/>
          <w:b/>
          <w:bCs/>
          <w:noProof w:val="0"/>
          <w:rtl/>
        </w:rPr>
      </w:pPr>
      <w:r w:rsidRPr="00A41FC0">
        <w:rPr>
          <w:rFonts w:ascii="David" w:hAnsi="David" w:hint="cs"/>
          <w:b/>
          <w:bCs/>
          <w:noProof w:val="0"/>
          <w:rtl/>
        </w:rPr>
        <w:t>"לאחר בירור עם הרשות, הנוהל אכן נמצא בהליך עבודה. עם זאת, הרשות סבורה שאין מקום לקבוע אותו כאן בהליך שהוא ערעור על החלטה ספציפית, פסק דין של בית הדין לעררים. ככל שיש טענות לעיכוב בקשר לנוהל, יש לפנות בעתירה מתאימה לבית המשפט. לשאלת בית המשפט, האם יש לוחות זמנים, אני משיב, שזה לא ההליך כאן לשיטתנו. אנחנו טוענים לחוסר סמכות מקומית".</w:t>
      </w:r>
    </w:p>
    <w:p w:rsidR="00A41FC0" w:rsidRPr="00A41FC0" w:rsidRDefault="00A41FC0" w:rsidP="00A41FC0">
      <w:pPr>
        <w:spacing w:line="360" w:lineRule="auto"/>
        <w:ind w:left="360"/>
        <w:contextualSpacing/>
        <w:jc w:val="both"/>
        <w:rPr>
          <w:rFonts w:eastAsia="Calibri"/>
          <w:rtl/>
        </w:rPr>
      </w:pPr>
    </w:p>
    <w:p w:rsidR="00A41FC0" w:rsidRPr="00A41FC0" w:rsidRDefault="00A41FC0" w:rsidP="00E56AB4">
      <w:pPr>
        <w:spacing w:line="360" w:lineRule="auto"/>
        <w:contextualSpacing/>
        <w:jc w:val="both"/>
        <w:rPr>
          <w:rFonts w:ascii="Arial" w:hAnsi="Arial"/>
          <w:noProof w:val="0"/>
          <w:rtl/>
        </w:rPr>
      </w:pPr>
      <w:r w:rsidRPr="00A41FC0">
        <w:rPr>
          <w:rFonts w:ascii="Arial" w:hAnsi="Arial"/>
          <w:noProof w:val="0"/>
          <w:rtl/>
        </w:rPr>
        <w:t>הרשות, על אף שבית המשפט העליון טרם קבע אחרת בערעור שהוגש</w:t>
      </w:r>
      <w:r w:rsidR="00E56AB4">
        <w:rPr>
          <w:rFonts w:ascii="Arial" w:hAnsi="Arial" w:hint="cs"/>
          <w:noProof w:val="0"/>
          <w:rtl/>
        </w:rPr>
        <w:t xml:space="preserve">, ועל אף שלא עוכב ביצען של החלטותי הקודמות, </w:t>
      </w:r>
      <w:r w:rsidRPr="00A41FC0">
        <w:rPr>
          <w:rFonts w:ascii="Arial" w:hAnsi="Arial"/>
          <w:noProof w:val="0"/>
          <w:rtl/>
        </w:rPr>
        <w:t xml:space="preserve"> </w:t>
      </w:r>
      <w:r w:rsidRPr="00A41FC0">
        <w:rPr>
          <w:rFonts w:ascii="Arial" w:hAnsi="Arial"/>
          <w:b/>
          <w:bCs/>
          <w:noProof w:val="0"/>
          <w:u w:val="single"/>
          <w:rtl/>
        </w:rPr>
        <w:t>בחרה</w:t>
      </w:r>
      <w:r w:rsidRPr="00A41FC0">
        <w:rPr>
          <w:rFonts w:ascii="Arial" w:hAnsi="Arial"/>
          <w:noProof w:val="0"/>
          <w:rtl/>
        </w:rPr>
        <w:t xml:space="preserve"> שלא להגיב לגופם של דברים.</w:t>
      </w:r>
    </w:p>
    <w:p w:rsidR="00A41FC0" w:rsidRPr="00A41FC0" w:rsidRDefault="00A41FC0" w:rsidP="00A41FC0">
      <w:pPr>
        <w:spacing w:line="360" w:lineRule="auto"/>
        <w:contextualSpacing/>
        <w:jc w:val="both"/>
        <w:rPr>
          <w:rFonts w:eastAsia="Calibri"/>
          <w:rtl/>
        </w:rPr>
      </w:pPr>
    </w:p>
    <w:p w:rsidR="00A41FC0" w:rsidRPr="00A41FC0" w:rsidRDefault="00A41FC0" w:rsidP="00A41FC0">
      <w:pPr>
        <w:tabs>
          <w:tab w:val="left" w:pos="4861"/>
        </w:tabs>
        <w:spacing w:line="360" w:lineRule="auto"/>
        <w:contextualSpacing/>
        <w:jc w:val="both"/>
        <w:outlineLvl w:val="0"/>
        <w:rPr>
          <w:rFonts w:ascii="David" w:eastAsia="Calibri" w:hAnsi="David"/>
          <w:b/>
          <w:bCs/>
          <w:u w:val="single"/>
          <w:rtl/>
        </w:rPr>
      </w:pPr>
      <w:bookmarkStart w:id="1" w:name="_Toc139378128"/>
      <w:r w:rsidRPr="00A41FC0">
        <w:rPr>
          <w:rFonts w:ascii="David" w:eastAsia="Calibri" w:hAnsi="David" w:hint="cs"/>
          <w:b/>
          <w:bCs/>
          <w:u w:val="single"/>
          <w:rtl/>
        </w:rPr>
        <w:t>דיון והכרעה</w:t>
      </w:r>
      <w:bookmarkEnd w:id="1"/>
    </w:p>
    <w:p w:rsidR="00A41FC0" w:rsidRPr="00A41FC0" w:rsidRDefault="00DB5F50" w:rsidP="002D3FF2">
      <w:pPr>
        <w:numPr>
          <w:ilvl w:val="0"/>
          <w:numId w:val="1"/>
        </w:numPr>
        <w:spacing w:before="240" w:line="360" w:lineRule="auto"/>
        <w:contextualSpacing/>
        <w:jc w:val="both"/>
        <w:rPr>
          <w:rFonts w:ascii="Arial" w:hAnsi="Arial"/>
          <w:noProof w:val="0"/>
          <w:rtl/>
        </w:rPr>
      </w:pPr>
      <w:r w:rsidRPr="00DB5F50">
        <w:rPr>
          <w:rFonts w:ascii="Arial" w:hAnsi="Arial" w:hint="cs"/>
          <w:b/>
          <w:bCs/>
          <w:noProof w:val="0"/>
          <w:rtl/>
        </w:rPr>
        <w:t>הערעור שלפניי מעלה שאלה עקרונית</w:t>
      </w:r>
      <w:r w:rsidR="00A41FC0" w:rsidRPr="00DB5F50">
        <w:rPr>
          <w:rFonts w:ascii="Arial" w:hAnsi="Arial"/>
          <w:b/>
          <w:bCs/>
          <w:noProof w:val="0"/>
          <w:rtl/>
        </w:rPr>
        <w:t xml:space="preserve"> ומהותית</w:t>
      </w:r>
      <w:r>
        <w:rPr>
          <w:rFonts w:ascii="Arial" w:hAnsi="Arial" w:hint="cs"/>
          <w:b/>
          <w:bCs/>
          <w:noProof w:val="0"/>
          <w:rtl/>
        </w:rPr>
        <w:t>, בעלת השלכות רוחב, והיא האם ל</w:t>
      </w:r>
      <w:r w:rsidR="00A41FC0" w:rsidRPr="00E56AB4">
        <w:rPr>
          <w:rFonts w:ascii="Arial" w:hAnsi="Arial"/>
          <w:b/>
          <w:bCs/>
          <w:noProof w:val="0"/>
          <w:rtl/>
        </w:rPr>
        <w:t xml:space="preserve">בקרי הגבול ונציגי הרשות </w:t>
      </w:r>
      <w:r>
        <w:rPr>
          <w:rFonts w:ascii="Arial" w:hAnsi="Arial" w:hint="cs"/>
          <w:b/>
          <w:bCs/>
          <w:noProof w:val="0"/>
          <w:rtl/>
        </w:rPr>
        <w:t xml:space="preserve">יש סמכות </w:t>
      </w:r>
      <w:r w:rsidR="00A41FC0" w:rsidRPr="00E56AB4">
        <w:rPr>
          <w:rFonts w:ascii="Arial" w:hAnsi="Arial"/>
          <w:b/>
          <w:bCs/>
          <w:noProof w:val="0"/>
          <w:rtl/>
        </w:rPr>
        <w:t>לחפש במכשירי הטלפון הניידים של המבקשים להיכנס לישראל, ו</w:t>
      </w:r>
      <w:r>
        <w:rPr>
          <w:rFonts w:ascii="Arial" w:hAnsi="Arial" w:hint="cs"/>
          <w:b/>
          <w:bCs/>
          <w:noProof w:val="0"/>
          <w:rtl/>
        </w:rPr>
        <w:t xml:space="preserve">מהן </w:t>
      </w:r>
      <w:r w:rsidR="00A41FC0" w:rsidRPr="00E56AB4">
        <w:rPr>
          <w:rFonts w:ascii="Arial" w:hAnsi="Arial"/>
          <w:b/>
          <w:bCs/>
          <w:noProof w:val="0"/>
          <w:rtl/>
        </w:rPr>
        <w:t>השלכות הפרת זכויותיהם בתהליך התשאול על תקינות ותוקף ההחלטה המנהלית.</w:t>
      </w:r>
      <w:r w:rsidR="00A41FC0" w:rsidRPr="00A41FC0">
        <w:rPr>
          <w:rFonts w:ascii="Arial" w:hAnsi="Arial"/>
          <w:noProof w:val="0"/>
          <w:rtl/>
        </w:rPr>
        <w:t xml:space="preserve"> </w:t>
      </w:r>
      <w:r>
        <w:rPr>
          <w:rFonts w:ascii="Arial" w:hAnsi="Arial" w:hint="cs"/>
          <w:noProof w:val="0"/>
          <w:rtl/>
        </w:rPr>
        <w:t>שאלה נוספת</w:t>
      </w:r>
      <w:r w:rsidR="00A41FC0" w:rsidRPr="00A41FC0">
        <w:rPr>
          <w:rFonts w:ascii="Arial" w:hAnsi="Arial"/>
          <w:noProof w:val="0"/>
          <w:rtl/>
        </w:rPr>
        <w:t xml:space="preserve">, שכבר נדונה והוכרעה על ידי בשתי הזדמנויות שונות, תלויה כעת </w:t>
      </w:r>
      <w:r w:rsidR="00A41FC0" w:rsidRPr="00E56AB4">
        <w:rPr>
          <w:rFonts w:ascii="Arial" w:hAnsi="Arial"/>
          <w:noProof w:val="0"/>
          <w:rtl/>
        </w:rPr>
        <w:t>בערעור</w:t>
      </w:r>
      <w:r w:rsidR="002D3FF2">
        <w:rPr>
          <w:rFonts w:ascii="Arial" w:hAnsi="Arial" w:hint="cs"/>
          <w:noProof w:val="0"/>
          <w:rtl/>
        </w:rPr>
        <w:t xml:space="preserve"> </w:t>
      </w:r>
      <w:r w:rsidR="002D3FF2" w:rsidRPr="00A41FC0">
        <w:rPr>
          <w:rFonts w:ascii="Arial" w:hAnsi="Arial"/>
          <w:noProof w:val="0"/>
          <w:rtl/>
        </w:rPr>
        <w:t>לפני בית המשפט העליון</w:t>
      </w:r>
      <w:r w:rsidR="00A41FC0" w:rsidRPr="00E56AB4">
        <w:rPr>
          <w:rFonts w:ascii="Arial" w:hAnsi="Arial"/>
          <w:noProof w:val="0"/>
          <w:rtl/>
        </w:rPr>
        <w:t xml:space="preserve"> (רק לגבי אחת ההחלטות</w:t>
      </w:r>
      <w:r w:rsidR="00962DAB" w:rsidRPr="00E56AB4">
        <w:rPr>
          <w:rFonts w:ascii="Arial" w:hAnsi="Arial" w:hint="cs"/>
          <w:noProof w:val="0"/>
          <w:rtl/>
        </w:rPr>
        <w:t>, וללא</w:t>
      </w:r>
      <w:r w:rsidR="00962DAB">
        <w:rPr>
          <w:rFonts w:ascii="Arial" w:hAnsi="Arial" w:hint="cs"/>
          <w:noProof w:val="0"/>
          <w:rtl/>
        </w:rPr>
        <w:t xml:space="preserve"> שהרשות ביקשה עיכוב ביצוע)</w:t>
      </w:r>
      <w:r w:rsidR="00A41FC0" w:rsidRPr="00A41FC0">
        <w:rPr>
          <w:rFonts w:ascii="Arial" w:hAnsi="Arial"/>
          <w:noProof w:val="0"/>
          <w:rtl/>
        </w:rPr>
        <w:t xml:space="preserve">, ונוגעת לסמכות המקומית של בית הדין לעררים ובית המשפט בערעור. </w:t>
      </w:r>
      <w:r w:rsidR="0093776E">
        <w:rPr>
          <w:rFonts w:ascii="Arial" w:hAnsi="Arial" w:hint="cs"/>
          <w:noProof w:val="0"/>
          <w:rtl/>
        </w:rPr>
        <w:t xml:space="preserve">כיון שעל פי המבחנים שקבעתי, יש לבית משפט זה סמכות מקומית, </w:t>
      </w:r>
      <w:r w:rsidR="002D3FF2">
        <w:rPr>
          <w:rFonts w:ascii="Arial" w:hAnsi="Arial" w:hint="cs"/>
          <w:noProof w:val="0"/>
          <w:rtl/>
        </w:rPr>
        <w:t>אדון</w:t>
      </w:r>
      <w:r w:rsidR="00A41FC0" w:rsidRPr="00A41FC0">
        <w:rPr>
          <w:rFonts w:ascii="Arial" w:hAnsi="Arial"/>
          <w:noProof w:val="0"/>
          <w:rtl/>
        </w:rPr>
        <w:t xml:space="preserve"> תחילה בקצרה בשאלת הסמכות המקומית, ולאחר מכן </w:t>
      </w:r>
      <w:r w:rsidR="002D3FF2">
        <w:rPr>
          <w:rFonts w:ascii="Arial" w:hAnsi="Arial" w:hint="cs"/>
          <w:noProof w:val="0"/>
          <w:rtl/>
        </w:rPr>
        <w:t xml:space="preserve">ובהרחבה, בשאלה העקרונית של </w:t>
      </w:r>
      <w:r w:rsidR="00A41FC0" w:rsidRPr="00A41FC0">
        <w:rPr>
          <w:rFonts w:ascii="Arial" w:hAnsi="Arial"/>
          <w:noProof w:val="0"/>
          <w:rtl/>
        </w:rPr>
        <w:t xml:space="preserve">סמכות הרשות ואנשיה לערוך חיפוש </w:t>
      </w:r>
      <w:r w:rsidR="00100F6D">
        <w:rPr>
          <w:rFonts w:ascii="Arial" w:hAnsi="Arial" w:hint="cs"/>
          <w:noProof w:val="0"/>
          <w:rtl/>
        </w:rPr>
        <w:t>בטלפונים ניידים</w:t>
      </w:r>
      <w:r w:rsidR="00A41FC0" w:rsidRPr="00A41FC0">
        <w:rPr>
          <w:rFonts w:ascii="Arial" w:hAnsi="Arial"/>
          <w:noProof w:val="0"/>
          <w:rtl/>
        </w:rPr>
        <w:t xml:space="preserve"> של המבקשים להיכנס לישראל.</w:t>
      </w:r>
    </w:p>
    <w:p w:rsidR="00A41FC0" w:rsidRPr="00A41FC0" w:rsidRDefault="00A41FC0" w:rsidP="00A41FC0">
      <w:pPr>
        <w:spacing w:line="360" w:lineRule="auto"/>
        <w:contextualSpacing/>
        <w:jc w:val="both"/>
        <w:outlineLvl w:val="1"/>
        <w:rPr>
          <w:rFonts w:ascii="Arial" w:hAnsi="Arial"/>
          <w:noProof w:val="0"/>
          <w:u w:val="single"/>
          <w:rtl/>
        </w:rPr>
      </w:pPr>
      <w:bookmarkStart w:id="2" w:name="_Toc139378129"/>
    </w:p>
    <w:p w:rsidR="00A41FC0" w:rsidRPr="00A41FC0" w:rsidRDefault="00A41FC0" w:rsidP="00A41FC0">
      <w:pPr>
        <w:spacing w:line="360" w:lineRule="auto"/>
        <w:contextualSpacing/>
        <w:jc w:val="both"/>
        <w:outlineLvl w:val="1"/>
        <w:rPr>
          <w:rFonts w:ascii="Arial" w:hAnsi="Arial"/>
          <w:b/>
          <w:bCs/>
          <w:noProof w:val="0"/>
          <w:u w:val="single"/>
          <w:rtl/>
        </w:rPr>
      </w:pPr>
      <w:r w:rsidRPr="00A41FC0">
        <w:rPr>
          <w:rFonts w:ascii="Arial" w:hAnsi="Arial"/>
          <w:b/>
          <w:bCs/>
          <w:noProof w:val="0"/>
          <w:u w:val="single"/>
          <w:rtl/>
        </w:rPr>
        <w:t>הסמכות המקומית</w:t>
      </w:r>
      <w:bookmarkEnd w:id="2"/>
    </w:p>
    <w:p w:rsidR="00A41FC0" w:rsidRPr="00697B45" w:rsidRDefault="00A41FC0" w:rsidP="00697B45">
      <w:pPr>
        <w:numPr>
          <w:ilvl w:val="0"/>
          <w:numId w:val="1"/>
        </w:numPr>
        <w:spacing w:before="240" w:line="360" w:lineRule="auto"/>
        <w:contextualSpacing/>
        <w:jc w:val="both"/>
        <w:rPr>
          <w:rFonts w:ascii="David" w:hAnsi="David"/>
          <w:noProof w:val="0"/>
          <w:rtl/>
          <w:lang w:eastAsia="he-IL"/>
        </w:rPr>
      </w:pPr>
      <w:r w:rsidRPr="00697B45">
        <w:rPr>
          <w:rFonts w:ascii="Arial" w:hAnsi="Arial"/>
          <w:noProof w:val="0"/>
          <w:rtl/>
        </w:rPr>
        <w:t xml:space="preserve">באשר לשאלת הסמכות המקומית, אדגיש, כפי שגם ציינה הרשות בתגובתה, כי עניין זה הוכרע על ידי בשתי הזדמנויות שונות ואני חוזרת ומפנה לכללים שהתוויתי בהחלטותיי </w:t>
      </w:r>
      <w:r w:rsidRPr="00697B45">
        <w:rPr>
          <w:rFonts w:ascii="Arial" w:hAnsi="Arial"/>
          <w:b/>
          <w:bCs/>
          <w:noProof w:val="0"/>
          <w:rtl/>
        </w:rPr>
        <w:t>בעניין טיכומירובה ובעניין פבליוק</w:t>
      </w:r>
      <w:r w:rsidRPr="00697B45">
        <w:rPr>
          <w:rFonts w:ascii="Arial" w:hAnsi="Arial"/>
          <w:noProof w:val="0"/>
          <w:rtl/>
        </w:rPr>
        <w:t xml:space="preserve">, המחייבים את הרשות כל עוד לא עוכב ביצוען או ניתנה החלטה אחרת בבית המשפט </w:t>
      </w:r>
      <w:r w:rsidRPr="00E56AB4">
        <w:rPr>
          <w:rFonts w:ascii="Arial" w:hAnsi="Arial"/>
          <w:noProof w:val="0"/>
          <w:rtl/>
        </w:rPr>
        <w:t>העליון (</w:t>
      </w:r>
      <w:r w:rsidRPr="00E56AB4">
        <w:rPr>
          <w:rFonts w:ascii="Arial" w:hAnsi="Arial"/>
          <w:b/>
          <w:bCs/>
          <w:noProof w:val="0"/>
          <w:rtl/>
        </w:rPr>
        <w:t>בעניין טיכומירובה</w:t>
      </w:r>
      <w:r w:rsidRPr="00E56AB4">
        <w:rPr>
          <w:rFonts w:ascii="Arial" w:hAnsi="Arial"/>
          <w:noProof w:val="0"/>
          <w:rtl/>
        </w:rPr>
        <w:t xml:space="preserve"> כלל לא הוגשה בקשת רשות לערער</w:t>
      </w:r>
      <w:r w:rsidR="00974C63" w:rsidRPr="00E56AB4">
        <w:rPr>
          <w:rFonts w:ascii="Arial" w:hAnsi="Arial" w:hint="cs"/>
          <w:noProof w:val="0"/>
          <w:rtl/>
        </w:rPr>
        <w:t xml:space="preserve"> </w:t>
      </w:r>
      <w:r w:rsidR="00974C63" w:rsidRPr="00E56AB4">
        <w:rPr>
          <w:rFonts w:ascii="Arial" w:hAnsi="Arial" w:hint="cs"/>
          <w:b/>
          <w:bCs/>
          <w:noProof w:val="0"/>
          <w:rtl/>
        </w:rPr>
        <w:t>ובעניין פבליוק</w:t>
      </w:r>
      <w:r w:rsidR="00974C63" w:rsidRPr="00E56AB4">
        <w:rPr>
          <w:rFonts w:ascii="Arial" w:hAnsi="Arial" w:hint="cs"/>
          <w:noProof w:val="0"/>
          <w:rtl/>
        </w:rPr>
        <w:t xml:space="preserve"> לא התבקש עיכוב ביצוע</w:t>
      </w:r>
      <w:r w:rsidR="003A2CA1" w:rsidRPr="00E56AB4">
        <w:rPr>
          <w:rFonts w:ascii="Arial" w:hAnsi="Arial"/>
          <w:noProof w:val="0"/>
          <w:rtl/>
        </w:rPr>
        <w:t>)</w:t>
      </w:r>
      <w:r w:rsidRPr="00E56AB4">
        <w:rPr>
          <w:rFonts w:ascii="Arial" w:hAnsi="Arial"/>
          <w:noProof w:val="0"/>
          <w:rtl/>
        </w:rPr>
        <w:t>.</w:t>
      </w:r>
      <w:r w:rsidR="00697B45" w:rsidRPr="00E56AB4">
        <w:rPr>
          <w:rFonts w:ascii="Arial" w:hAnsi="Arial" w:hint="cs"/>
          <w:noProof w:val="0"/>
          <w:rtl/>
        </w:rPr>
        <w:t xml:space="preserve"> </w:t>
      </w:r>
      <w:r w:rsidRPr="00E56AB4">
        <w:rPr>
          <w:rFonts w:ascii="David" w:hAnsi="David"/>
          <w:noProof w:val="0"/>
          <w:rtl/>
          <w:lang w:eastAsia="he-IL"/>
        </w:rPr>
        <w:t xml:space="preserve">כפי </w:t>
      </w:r>
      <w:r w:rsidRPr="00E56AB4">
        <w:rPr>
          <w:rFonts w:ascii="David" w:hAnsi="David"/>
          <w:b/>
          <w:bCs/>
          <w:noProof w:val="0"/>
          <w:rtl/>
          <w:lang w:eastAsia="he-IL"/>
        </w:rPr>
        <w:t xml:space="preserve">שקבעתי </w:t>
      </w:r>
      <w:r w:rsidR="00697B45" w:rsidRPr="00E56AB4">
        <w:rPr>
          <w:rFonts w:ascii="David" w:hAnsi="David" w:hint="cs"/>
          <w:b/>
          <w:bCs/>
          <w:noProof w:val="0"/>
          <w:rtl/>
          <w:lang w:eastAsia="he-IL"/>
        </w:rPr>
        <w:t>באותן החלטות,</w:t>
      </w:r>
      <w:r w:rsidRPr="00E56AB4">
        <w:rPr>
          <w:rFonts w:ascii="David" w:hAnsi="David"/>
          <w:b/>
          <w:bCs/>
          <w:noProof w:val="0"/>
          <w:rtl/>
          <w:lang w:eastAsia="he-IL"/>
        </w:rPr>
        <w:t xml:space="preserve"> על פני הדברים, ובמקרים שבהם</w:t>
      </w:r>
      <w:r w:rsidRPr="00697B45">
        <w:rPr>
          <w:rFonts w:ascii="David" w:hAnsi="David"/>
          <w:b/>
          <w:bCs/>
          <w:noProof w:val="0"/>
          <w:rtl/>
          <w:lang w:eastAsia="he-IL"/>
        </w:rPr>
        <w:t xml:space="preserve"> ההחלטה מתקבלת כנדרש על-ידי ראש</w:t>
      </w:r>
      <w:r w:rsidRPr="00697B45">
        <w:rPr>
          <w:rFonts w:ascii="David" w:hAnsi="David"/>
          <w:noProof w:val="0"/>
          <w:rtl/>
          <w:lang w:eastAsia="he-IL"/>
        </w:rPr>
        <w:t xml:space="preserve"> הרשות במקום מושבו בירושלים, הסמכות תהיה נתונה לבית הדין ולבתי המשפט בירושלים. עם זאת, יש לבחון, בכל מקרה בו המבקשים טוענים שלא כך הם פני הדברים, האם אכן ההחלטה התקבלה בירושלים מטעמים ענייניים, שאז ורק אז, תקום הסמכות המקומית בירושלים. כאשר מפרטי המקרה עולה כי הדיון לא נעשה כדין, אזי גובר החשש כי מטרת ההעברה הייתה אך ניסיון לבחור מותב נוח לרשות, ואז תיוותר הסמכות המקומית בתל אביב.</w:t>
      </w:r>
    </w:p>
    <w:p w:rsidR="00A41FC0" w:rsidRPr="00A41FC0" w:rsidRDefault="00A41FC0" w:rsidP="00A41FC0">
      <w:pPr>
        <w:tabs>
          <w:tab w:val="left" w:pos="793"/>
        </w:tabs>
        <w:contextualSpacing/>
        <w:jc w:val="both"/>
        <w:rPr>
          <w:rFonts w:ascii="David" w:hAnsi="David"/>
          <w:rtl/>
          <w:lang w:eastAsia="he-IL"/>
        </w:rPr>
      </w:pPr>
      <w:r w:rsidRPr="00A41FC0">
        <w:rPr>
          <w:rFonts w:ascii="David" w:hAnsi="David"/>
          <w:rtl/>
          <w:lang w:eastAsia="he-IL"/>
        </w:rPr>
        <w:lastRenderedPageBreak/>
        <w:t xml:space="preserve"> </w:t>
      </w:r>
    </w:p>
    <w:p w:rsidR="00A41FC0" w:rsidRPr="001B239B" w:rsidRDefault="00A41FC0" w:rsidP="001B239B">
      <w:pPr>
        <w:pStyle w:val="ad"/>
        <w:numPr>
          <w:ilvl w:val="0"/>
          <w:numId w:val="1"/>
        </w:numPr>
        <w:spacing w:line="360" w:lineRule="auto"/>
        <w:jc w:val="both"/>
        <w:rPr>
          <w:rFonts w:ascii="Arial" w:hAnsi="Arial"/>
          <w:noProof w:val="0"/>
          <w:rtl/>
        </w:rPr>
      </w:pPr>
      <w:r w:rsidRPr="001B239B">
        <w:rPr>
          <w:rFonts w:ascii="David" w:hAnsi="David"/>
          <w:noProof w:val="0"/>
          <w:rtl/>
          <w:lang w:eastAsia="he-IL"/>
        </w:rPr>
        <w:t xml:space="preserve">ומכאן ליישום הכללים שקבעתי בעניין </w:t>
      </w:r>
      <w:r w:rsidRPr="001B239B">
        <w:rPr>
          <w:rFonts w:ascii="David" w:hAnsi="David"/>
          <w:b/>
          <w:bCs/>
          <w:noProof w:val="0"/>
          <w:rtl/>
          <w:lang w:eastAsia="he-IL"/>
        </w:rPr>
        <w:t>טיכומירובה</w:t>
      </w:r>
      <w:r w:rsidRPr="001B239B">
        <w:rPr>
          <w:rFonts w:ascii="David" w:hAnsi="David"/>
          <w:noProof w:val="0"/>
          <w:rtl/>
          <w:lang w:eastAsia="he-IL"/>
        </w:rPr>
        <w:t xml:space="preserve"> ובעניין </w:t>
      </w:r>
      <w:r w:rsidRPr="001B239B">
        <w:rPr>
          <w:rFonts w:ascii="David" w:hAnsi="David"/>
          <w:b/>
          <w:bCs/>
          <w:noProof w:val="0"/>
          <w:rtl/>
          <w:lang w:eastAsia="he-IL"/>
        </w:rPr>
        <w:t xml:space="preserve">פבליוק </w:t>
      </w:r>
      <w:r w:rsidRPr="001B239B">
        <w:rPr>
          <w:rFonts w:ascii="David" w:hAnsi="David"/>
          <w:noProof w:val="0"/>
          <w:rtl/>
          <w:lang w:eastAsia="he-IL"/>
        </w:rPr>
        <w:t xml:space="preserve">למקרה שלפניי. </w:t>
      </w:r>
      <w:r w:rsidRPr="001B239B">
        <w:rPr>
          <w:rFonts w:ascii="Arial" w:hAnsi="Arial"/>
          <w:noProof w:val="0"/>
          <w:rtl/>
        </w:rPr>
        <w:t>ב"כ המערערים תאר בדיון לפניי, את מהלך הגשת הערר בבית הדין בתל אביב ואת התנהלות הרשות בקשר עם הסמכות המקומית, כפי הידוע לו אישית לגבי מקרה זה (עמ' 3 לפר' ש' 7-עמ' 4 ש' 7) :</w:t>
      </w:r>
    </w:p>
    <w:p w:rsidR="00A41FC0" w:rsidRPr="00A41FC0" w:rsidRDefault="00962DAB" w:rsidP="00A41FC0">
      <w:pPr>
        <w:ind w:left="567" w:right="567"/>
        <w:jc w:val="both"/>
        <w:rPr>
          <w:rFonts w:ascii="David" w:eastAsia="David" w:hAnsi="David"/>
          <w:b/>
          <w:bCs/>
          <w:noProof w:val="0"/>
          <w:rtl/>
        </w:rPr>
      </w:pPr>
      <w:r>
        <w:rPr>
          <w:rFonts w:ascii="David" w:eastAsia="David" w:hAnsi="David" w:hint="cs"/>
          <w:b/>
          <w:bCs/>
          <w:noProof w:val="0"/>
          <w:rtl/>
        </w:rPr>
        <w:t>"</w:t>
      </w:r>
      <w:r w:rsidR="00A41FC0" w:rsidRPr="00A41FC0">
        <w:rPr>
          <w:rFonts w:ascii="David" w:eastAsia="David" w:hAnsi="David" w:hint="cs"/>
          <w:b/>
          <w:bCs/>
          <w:noProof w:val="0"/>
          <w:rtl/>
        </w:rPr>
        <w:t xml:space="preserve">קיבלנו את </w:t>
      </w:r>
      <w:r w:rsidR="00A41FC0" w:rsidRPr="00A41FC0">
        <w:rPr>
          <w:rFonts w:ascii="David" w:hAnsi="David" w:hint="cs"/>
          <w:b/>
          <w:bCs/>
          <w:noProof w:val="0"/>
          <w:rtl/>
        </w:rPr>
        <w:t>הפניה</w:t>
      </w:r>
      <w:r w:rsidR="00A41FC0" w:rsidRPr="00A41FC0">
        <w:rPr>
          <w:rFonts w:ascii="David" w:eastAsia="David" w:hAnsi="David" w:hint="cs"/>
          <w:b/>
          <w:bCs/>
          <w:noProof w:val="0"/>
          <w:rtl/>
        </w:rPr>
        <w:t xml:space="preserve"> מאיליה [בן זוגה של אם המערערת – מ' א' ג'], עו"ד מטעמנו טס לשדה התעופה כדי להחתים על יפוי כוח ותצהירים, ואנחנו על זמן שאול, ובתוך הטירוף הזה מגישים ערר לבית המשפט [צ"ל בית הדין – מ' א' ג'], כאשר אין לנו החלטת סירוב ובוודאי לא דוח תשאול. הגשנו לבית דין בתל אביב, מאחר שההחלטה ניתנה בנתב"ג, שם הסמכות המקומית ושם הידע והמומחיות לגבי סירובי הכניסה בשדה התעופה, וכן החלטה של מותב זה לעניין סירובי כניסה בנתב"ג והסמכות המקומית. </w:t>
      </w:r>
    </w:p>
    <w:p w:rsidR="00A41FC0" w:rsidRPr="00A41FC0" w:rsidRDefault="00A41FC0" w:rsidP="00A41FC0">
      <w:pPr>
        <w:ind w:left="567" w:right="567"/>
        <w:jc w:val="both"/>
        <w:rPr>
          <w:rFonts w:ascii="David" w:eastAsia="David" w:hAnsi="David"/>
          <w:b/>
          <w:bCs/>
          <w:noProof w:val="0"/>
          <w:rtl/>
        </w:rPr>
      </w:pPr>
      <w:r w:rsidRPr="00A41FC0">
        <w:rPr>
          <w:rFonts w:ascii="David" w:eastAsia="David" w:hAnsi="David" w:hint="cs"/>
          <w:b/>
          <w:bCs/>
          <w:noProof w:val="0"/>
          <w:rtl/>
        </w:rPr>
        <w:t xml:space="preserve">באותו היום ניתנה החלטה בתשובת המשיב ובקשה לעוררים להבין למה פנינו לבית דין בתל אביב. הגשנו תגובה מסודרת שמבהירה שלא הוגשה בר"ע על החלטת בית משפט זה ולכן אנו פועלים על פי הדין. המדינה מגישה כתב תשובה שלא נתמך בתצהיר, אין שום עובדה שעומדת לפני בית הדין לעררים בהיעדר תצהיר, המדינה מוסיפה מכתב בדחיפות של הזמן ואם יהיה צורך תהיה השלמה של הדברים, שזה לגיטימי בהתחשב בסד הזמנים. </w:t>
      </w:r>
      <w:r w:rsidRPr="00A41FC0">
        <w:rPr>
          <w:rFonts w:ascii="David" w:eastAsia="David" w:hAnsi="David" w:hint="cs"/>
          <w:b/>
          <w:bCs/>
          <w:noProof w:val="0"/>
          <w:u w:val="single"/>
          <w:rtl/>
        </w:rPr>
        <w:t>בית הדין לוקח את הערר שהוגש לבית הדין בתל אביב ומעביר אותו אליו בשבתו בירושלים</w:t>
      </w:r>
      <w:r w:rsidRPr="00A41FC0">
        <w:rPr>
          <w:rFonts w:ascii="David" w:eastAsia="David" w:hAnsi="David" w:hint="cs"/>
          <w:b/>
          <w:bCs/>
          <w:noProof w:val="0"/>
          <w:rtl/>
        </w:rPr>
        <w:t xml:space="preserve"> ומחליט בערר הן על סמך תשתית עובדתית חסרה, הן בהתייחס לשורה של טענות מפורטות שעלו בערר, הן בפגיעה בזכות החוקתית בערעור, הן לגבי סבירות ההחלטה, בלא להתייחס להצעה של הפקדת ערבות של 50,000 ₪ שהיא הרבה מעבר לנדרש, אך ניתנה מאחר שהזוג היה כבר במקום." </w:t>
      </w:r>
    </w:p>
    <w:p w:rsidR="00A41FC0" w:rsidRPr="00A41FC0" w:rsidRDefault="00A41FC0" w:rsidP="00A41FC0">
      <w:pPr>
        <w:ind w:left="567" w:right="567"/>
        <w:jc w:val="both"/>
        <w:rPr>
          <w:rFonts w:ascii="David" w:eastAsia="David" w:hAnsi="David"/>
          <w:noProof w:val="0"/>
          <w:rtl/>
        </w:rPr>
      </w:pPr>
    </w:p>
    <w:p w:rsidR="00A41FC0" w:rsidRPr="00A41FC0" w:rsidRDefault="00A41FC0" w:rsidP="00E56AB4">
      <w:pPr>
        <w:numPr>
          <w:ilvl w:val="0"/>
          <w:numId w:val="1"/>
        </w:numPr>
        <w:tabs>
          <w:tab w:val="left" w:pos="793"/>
        </w:tabs>
        <w:spacing w:before="240" w:line="360" w:lineRule="auto"/>
        <w:contextualSpacing/>
        <w:jc w:val="both"/>
        <w:rPr>
          <w:rFonts w:ascii="David" w:hAnsi="David"/>
          <w:rtl/>
          <w:lang w:eastAsia="he-IL"/>
        </w:rPr>
      </w:pPr>
      <w:r w:rsidRPr="00A41FC0">
        <w:rPr>
          <w:rFonts w:ascii="David" w:hAnsi="David"/>
          <w:rtl/>
          <w:lang w:eastAsia="he-IL"/>
        </w:rPr>
        <w:t xml:space="preserve">בהעדר כל גרסה עובדתית של הרשות לגבי אופן קבלת ההחלטה ונסיבות העברתה לראש הרשות במטה בירושלים, אני מקבלת את העובדות שתוארו על-ידי ב"כ המערערים, שהינו </w:t>
      </w:r>
      <w:r w:rsidRPr="00E56AB4">
        <w:rPr>
          <w:rFonts w:ascii="David" w:hAnsi="David"/>
          <w:rtl/>
          <w:lang w:eastAsia="he-IL"/>
        </w:rPr>
        <w:t>גם קצין בית המשפט, וקובעת כי החלטת הסרוב התקבלה הלכה למעשה בנתב"ג על-ידי בקרי הגבול שם, ולא בירושלים,</w:t>
      </w:r>
      <w:r w:rsidR="00FD6375" w:rsidRPr="00E56AB4">
        <w:rPr>
          <w:rFonts w:ascii="David" w:hAnsi="David"/>
          <w:rtl/>
          <w:lang w:eastAsia="he-IL"/>
        </w:rPr>
        <w:t xml:space="preserve"> </w:t>
      </w:r>
      <w:r w:rsidRPr="00E56AB4">
        <w:rPr>
          <w:rFonts w:ascii="David" w:hAnsi="David"/>
          <w:rtl/>
          <w:lang w:eastAsia="he-IL"/>
        </w:rPr>
        <w:t xml:space="preserve">שם רק נחתמה על-ידי ראש הרשות מבלי </w:t>
      </w:r>
      <w:r w:rsidR="00E56AB4">
        <w:rPr>
          <w:rFonts w:ascii="David" w:hAnsi="David" w:hint="cs"/>
          <w:rtl/>
          <w:lang w:eastAsia="he-IL"/>
        </w:rPr>
        <w:t>שנימק והבהיר כי שקל</w:t>
      </w:r>
      <w:r w:rsidRPr="00A41FC0">
        <w:rPr>
          <w:rFonts w:ascii="David" w:hAnsi="David"/>
          <w:rtl/>
          <w:lang w:eastAsia="he-IL"/>
        </w:rPr>
        <w:t xml:space="preserve"> לעומק את הדברים. גרסת המערערים המפורטת – תיאור נסיבות התשאול; החיפוש הלא מורשה בטלפון הנייד של המערערת; בחירת ממצא אחד ויחיד מאותו חיפוש ותליית החלטת הסרוב בעיקר בו; ההתייחסות לעברה הבלתי רלוונטי של אמה של המערערת; וללא התייחסות לכרטיסי הטיסה חזור, לערבות שהמערערים הסכימו להפקיד, ולמכתבו של בן הזוג של אם המערערת שביקש לארח את המערערים לרגל החג – תומכת במסקנה כי ההחלטה התקבלה למעשה בנתב"ג וללא שראש הרשות שחתם עליה שקל באופן ענייני את הנסיבות. </w:t>
      </w:r>
    </w:p>
    <w:p w:rsidR="00A41FC0" w:rsidRPr="00A41FC0" w:rsidRDefault="00A41FC0" w:rsidP="00A41FC0">
      <w:pPr>
        <w:tabs>
          <w:tab w:val="left" w:pos="793"/>
        </w:tabs>
        <w:spacing w:line="360" w:lineRule="auto"/>
        <w:contextualSpacing/>
        <w:jc w:val="both"/>
        <w:rPr>
          <w:rFonts w:ascii="David" w:eastAsia="Calibri" w:hAnsi="David"/>
          <w:rtl/>
          <w:lang w:eastAsia="he-IL"/>
        </w:rPr>
      </w:pPr>
    </w:p>
    <w:p w:rsidR="00A41FC0" w:rsidRPr="00A41FC0" w:rsidRDefault="00A41FC0" w:rsidP="00C1473F">
      <w:pPr>
        <w:numPr>
          <w:ilvl w:val="0"/>
          <w:numId w:val="1"/>
        </w:numPr>
        <w:tabs>
          <w:tab w:val="left" w:pos="793"/>
        </w:tabs>
        <w:spacing w:before="240" w:line="360" w:lineRule="auto"/>
        <w:contextualSpacing/>
        <w:jc w:val="both"/>
        <w:rPr>
          <w:rFonts w:ascii="David" w:hAnsi="David"/>
          <w:rtl/>
          <w:lang w:eastAsia="he-IL"/>
        </w:rPr>
      </w:pPr>
      <w:r w:rsidRPr="00A41FC0">
        <w:rPr>
          <w:rFonts w:ascii="David" w:hAnsi="David"/>
          <w:rtl/>
          <w:lang w:eastAsia="he-IL"/>
        </w:rPr>
        <w:t xml:space="preserve">יתרה מכך, </w:t>
      </w:r>
      <w:r w:rsidRPr="00A41FC0">
        <w:rPr>
          <w:rtl/>
        </w:rPr>
        <w:t xml:space="preserve">יש להדגיש, כי המערערים במקרה זה לא ביקשו </w:t>
      </w:r>
      <w:r w:rsidR="002D3FF2">
        <w:rPr>
          <w:rFonts w:hint="cs"/>
          <w:rtl/>
        </w:rPr>
        <w:t>להיכנס ל</w:t>
      </w:r>
      <w:r w:rsidRPr="00A41FC0">
        <w:rPr>
          <w:rtl/>
        </w:rPr>
        <w:t>ישראל כמי שברחו מהמלחמה באוקראינה</w:t>
      </w:r>
      <w:r w:rsidR="002D3FF2">
        <w:rPr>
          <w:rFonts w:hint="cs"/>
          <w:rtl/>
        </w:rPr>
        <w:t>. עובדה זו חשובה לעניין ההכרעה בעניין ההנמקה שבהעברת ההחלטה במקרה שלפניים לראש הרשות בירושלים, שכן, בשעתו, השרה שקד הורתה על העברת הדיון בעניינם של אזרחי אוקראינה להחלטת ראש הרשות, בשל רגישות העניין, לאור העובדה שאזרחי אוקראינה שהגיעו אז ארצה, ברחו רובם ככולם מהמלחמה בארצם.</w:t>
      </w:r>
      <w:r w:rsidRPr="00A41FC0">
        <w:rPr>
          <w:rtl/>
        </w:rPr>
        <w:t xml:space="preserve"> </w:t>
      </w:r>
      <w:r w:rsidR="002D3FF2">
        <w:rPr>
          <w:rFonts w:hint="cs"/>
          <w:rtl/>
        </w:rPr>
        <w:t>אולם, במקרה שלפניי הגיעו המערערים כתיירים לחופשה ב</w:t>
      </w:r>
      <w:r w:rsidR="00C1473F">
        <w:rPr>
          <w:rFonts w:hint="cs"/>
          <w:rtl/>
        </w:rPr>
        <w:t>ת שבוע מפולין, שם הם נמצאים בתהליכי קבלת אזרחות.</w:t>
      </w:r>
      <w:r w:rsidRPr="00A41FC0">
        <w:rPr>
          <w:rtl/>
        </w:rPr>
        <w:t xml:space="preserve"> המערערים</w:t>
      </w:r>
      <w:r w:rsidRPr="00A41FC0">
        <w:rPr>
          <w:rFonts w:ascii="David" w:hAnsi="David"/>
          <w:rtl/>
          <w:lang w:eastAsia="he-IL"/>
        </w:rPr>
        <w:t xml:space="preserve"> החזיקו בכרטיסי טיסה חזור לפולין התואמים את גרסתם לגבי ביקור משפחתי לחופשה חגיגית, ובמכתב מאזרח ישראלי התומך אף הוא בגרסה זו. לפיכך, כדי להצדיק את העברת </w:t>
      </w:r>
      <w:r w:rsidRPr="00A41FC0">
        <w:rPr>
          <w:rFonts w:ascii="David" w:hAnsi="David"/>
          <w:rtl/>
          <w:lang w:eastAsia="he-IL"/>
        </w:rPr>
        <w:lastRenderedPageBreak/>
        <w:t>ההחלטה לראש הרשות, נדרש היה, לכל הפחות, להסביר את הכללת המערערים בגדר מי שבקשתם להכנס לישראל נדונה בהתאם למתווה ולהסמכתו על-ידי השרה לשעבר שקד באופן מיוחד לאור הנסיבות הרגישות של מבקשי מקלט מאזורי לחימה, ואף לכלול בהחלטה התייחסות לכך. בזמן ובנוסח שבהם ניתנה ההחלטה, לא ניתן לומר שנסיבות המקרה נשקלו כנדרש, ולא ניתן לקבוע שראש הרשות קיבל את ההחלטה מתוקף הסמכתו כאמור.</w:t>
      </w:r>
    </w:p>
    <w:p w:rsidR="00A41FC0" w:rsidRPr="00A41FC0" w:rsidRDefault="00A41FC0" w:rsidP="00A41FC0">
      <w:pPr>
        <w:tabs>
          <w:tab w:val="left" w:pos="793"/>
        </w:tabs>
        <w:spacing w:line="360" w:lineRule="auto"/>
        <w:contextualSpacing/>
        <w:jc w:val="both"/>
        <w:rPr>
          <w:rFonts w:ascii="David" w:eastAsia="Calibri" w:hAnsi="David"/>
          <w:rtl/>
          <w:lang w:eastAsia="he-IL"/>
        </w:rPr>
      </w:pPr>
    </w:p>
    <w:p w:rsidR="00A41FC0" w:rsidRPr="00A41FC0" w:rsidRDefault="00A41FC0" w:rsidP="00A41FC0">
      <w:pPr>
        <w:tabs>
          <w:tab w:val="left" w:pos="793"/>
        </w:tabs>
        <w:spacing w:line="360" w:lineRule="auto"/>
        <w:contextualSpacing/>
        <w:jc w:val="both"/>
        <w:rPr>
          <w:rFonts w:ascii="David" w:eastAsia="Calibri" w:hAnsi="David"/>
          <w:rtl/>
          <w:lang w:eastAsia="he-IL"/>
        </w:rPr>
      </w:pPr>
      <w:r w:rsidRPr="00A41FC0">
        <w:rPr>
          <w:rFonts w:ascii="David" w:eastAsia="Calibri" w:hAnsi="David"/>
          <w:rtl/>
          <w:lang w:eastAsia="he-IL"/>
        </w:rPr>
        <w:t>משכך אני קובעת כי במקרה זה, הסמכות המקומית לדון בערר על החלטת הסרוב ובערעור על פסק הדין של בית הדין לעררים היא – על פי כללי הסמכות המקומית – לפי המקום שבו התקבלה ונמסרה ההחלטה למעשה - בתל אביב.</w:t>
      </w:r>
    </w:p>
    <w:p w:rsidR="00A41FC0" w:rsidRDefault="00A41FC0" w:rsidP="00A41FC0">
      <w:pPr>
        <w:tabs>
          <w:tab w:val="left" w:pos="793"/>
        </w:tabs>
        <w:spacing w:line="360" w:lineRule="auto"/>
        <w:contextualSpacing/>
        <w:jc w:val="both"/>
        <w:rPr>
          <w:rFonts w:ascii="David" w:eastAsia="Calibri" w:hAnsi="David"/>
          <w:rtl/>
          <w:lang w:eastAsia="he-IL"/>
        </w:rPr>
      </w:pPr>
    </w:p>
    <w:p w:rsidR="00974C63" w:rsidRDefault="00974C63" w:rsidP="00A41FC0">
      <w:pPr>
        <w:tabs>
          <w:tab w:val="left" w:pos="793"/>
        </w:tabs>
        <w:spacing w:line="360" w:lineRule="auto"/>
        <w:contextualSpacing/>
        <w:jc w:val="both"/>
        <w:rPr>
          <w:rFonts w:ascii="David" w:eastAsia="Calibri" w:hAnsi="David"/>
          <w:b/>
          <w:bCs/>
          <w:u w:val="single"/>
          <w:rtl/>
          <w:lang w:eastAsia="he-IL"/>
        </w:rPr>
      </w:pPr>
      <w:r w:rsidRPr="00974C63">
        <w:rPr>
          <w:rFonts w:ascii="David" w:eastAsia="Calibri" w:hAnsi="David" w:hint="cs"/>
          <w:b/>
          <w:bCs/>
          <w:u w:val="single"/>
          <w:rtl/>
          <w:lang w:eastAsia="he-IL"/>
        </w:rPr>
        <w:t>על הזכות לפרטיות וחיפוש בטלפונים של המבקשים להיכנס לישראל</w:t>
      </w:r>
    </w:p>
    <w:p w:rsidR="00664D1C" w:rsidRDefault="000E6AEE" w:rsidP="0048448A">
      <w:pPr>
        <w:pStyle w:val="ad"/>
        <w:numPr>
          <w:ilvl w:val="0"/>
          <w:numId w:val="1"/>
        </w:numPr>
        <w:tabs>
          <w:tab w:val="left" w:pos="793"/>
        </w:tabs>
        <w:spacing w:line="360" w:lineRule="auto"/>
        <w:jc w:val="both"/>
        <w:rPr>
          <w:rFonts w:ascii="David" w:eastAsia="Calibri" w:hAnsi="David"/>
          <w:lang w:eastAsia="he-IL"/>
        </w:rPr>
      </w:pPr>
      <w:r>
        <w:rPr>
          <w:rFonts w:ascii="David" w:eastAsia="Calibri" w:hAnsi="David" w:hint="cs"/>
          <w:rtl/>
          <w:lang w:eastAsia="he-IL"/>
        </w:rPr>
        <w:t xml:space="preserve">הכל מכירים בחשיבות הזכות לפרטיות וצנעת הפרט. </w:t>
      </w:r>
      <w:r w:rsidR="00664D1C" w:rsidRPr="00664D1C">
        <w:rPr>
          <w:rFonts w:ascii="David" w:eastAsia="Calibri" w:hAnsi="David" w:hint="cs"/>
          <w:rtl/>
          <w:lang w:eastAsia="he-IL"/>
        </w:rPr>
        <w:t>הזכות לפרטיות מעוגנת בהכרזה האוניברסלית על זכויות האדם (1948</w:t>
      </w:r>
      <w:r w:rsidR="00664D1C">
        <w:rPr>
          <w:rFonts w:ascii="David" w:eastAsia="Calibri" w:hAnsi="David" w:hint="cs"/>
          <w:rtl/>
          <w:lang w:eastAsia="he-IL"/>
        </w:rPr>
        <w:t xml:space="preserve">, </w:t>
      </w:r>
      <w:r w:rsidR="00664D1C" w:rsidRPr="00664D1C">
        <w:rPr>
          <w:rFonts w:ascii="David" w:eastAsia="Calibri" w:hAnsi="David"/>
          <w:lang w:eastAsia="he-IL"/>
        </w:rPr>
        <w:t>The Universal Declaration of Human Rights, GA RES. 21A (III), UN DOC A/810 AT 71</w:t>
      </w:r>
      <w:r>
        <w:rPr>
          <w:rFonts w:ascii="David" w:eastAsia="Calibri" w:hAnsi="David" w:hint="cs"/>
          <w:rtl/>
          <w:lang w:eastAsia="he-IL"/>
        </w:rPr>
        <w:t xml:space="preserve">; היא מעוגנת באמנה הבינלאומית בדבר זכויות אזרחיות ומדיניות (1966, </w:t>
      </w:r>
      <w:r w:rsidRPr="000E6AEE">
        <w:rPr>
          <w:rFonts w:ascii="David" w:eastAsia="Calibri" w:hAnsi="David"/>
          <w:lang w:eastAsia="he-IL"/>
        </w:rPr>
        <w:t>International Covenant on Civil and Political Rights, Dec. 16, 1966, 999 U.N.T.S. 171</w:t>
      </w:r>
      <w:r>
        <w:rPr>
          <w:rFonts w:ascii="David" w:eastAsia="Calibri" w:hAnsi="David" w:hint="cs"/>
          <w:rtl/>
          <w:lang w:eastAsia="he-IL"/>
        </w:rPr>
        <w:t xml:space="preserve">) וכן באמנות אזוריות כמו האמנה האירופית על זכויות האדם וחירויות היסוד (1950, </w:t>
      </w:r>
      <w:r w:rsidRPr="000E6AEE">
        <w:rPr>
          <w:rFonts w:ascii="David" w:eastAsia="Calibri" w:hAnsi="David"/>
          <w:lang w:eastAsia="he-IL"/>
        </w:rPr>
        <w:t>Convention for the Protection of Human Rights and Fundamental Freedoms, Nov. 4, 1950, 213 U.N.T.S. 222</w:t>
      </w:r>
      <w:r>
        <w:rPr>
          <w:rFonts w:ascii="David" w:eastAsia="Calibri" w:hAnsi="David" w:hint="cs"/>
          <w:rtl/>
          <w:lang w:eastAsia="he-IL"/>
        </w:rPr>
        <w:t>) ורבות אחרות.</w:t>
      </w:r>
    </w:p>
    <w:p w:rsidR="000E6AEE" w:rsidRPr="00664D1C" w:rsidRDefault="000E6AEE" w:rsidP="000E6AEE">
      <w:pPr>
        <w:pStyle w:val="ad"/>
        <w:tabs>
          <w:tab w:val="left" w:pos="793"/>
        </w:tabs>
        <w:spacing w:line="360" w:lineRule="auto"/>
        <w:ind w:left="0"/>
        <w:jc w:val="both"/>
        <w:rPr>
          <w:rFonts w:ascii="David" w:eastAsia="Calibri" w:hAnsi="David"/>
          <w:rtl/>
          <w:lang w:eastAsia="he-IL"/>
        </w:rPr>
      </w:pPr>
    </w:p>
    <w:p w:rsidR="00974C63" w:rsidRDefault="000E6AEE" w:rsidP="00316792">
      <w:pPr>
        <w:pStyle w:val="ad"/>
        <w:numPr>
          <w:ilvl w:val="0"/>
          <w:numId w:val="1"/>
        </w:numPr>
        <w:tabs>
          <w:tab w:val="left" w:pos="793"/>
        </w:tabs>
        <w:spacing w:line="360" w:lineRule="auto"/>
        <w:jc w:val="both"/>
        <w:rPr>
          <w:rFonts w:ascii="David" w:eastAsia="Calibri" w:hAnsi="David"/>
          <w:lang w:eastAsia="he-IL"/>
        </w:rPr>
      </w:pPr>
      <w:r>
        <w:rPr>
          <w:rFonts w:ascii="David" w:hAnsi="David" w:hint="cs"/>
          <w:rtl/>
          <w:lang w:eastAsia="he-IL"/>
        </w:rPr>
        <w:t>הזכות לפרטיות</w:t>
      </w:r>
      <w:r w:rsidR="00316792">
        <w:rPr>
          <w:rFonts w:ascii="David" w:hAnsi="David" w:hint="cs"/>
          <w:rtl/>
          <w:lang w:eastAsia="he-IL"/>
        </w:rPr>
        <w:t xml:space="preserve"> זכתה למעמד מיוחד ולהכרה כזכות חוקתית, לאור </w:t>
      </w:r>
      <w:r w:rsidR="00974C63" w:rsidRPr="00664D1C">
        <w:rPr>
          <w:rFonts w:ascii="David" w:hAnsi="David"/>
          <w:rtl/>
          <w:lang w:eastAsia="he-IL"/>
        </w:rPr>
        <w:t>חשיבותה הרבה בעיני המחוקק הישראלי</w:t>
      </w:r>
      <w:r w:rsidR="00316792">
        <w:rPr>
          <w:rFonts w:ascii="David" w:hAnsi="David" w:hint="cs"/>
          <w:rtl/>
          <w:lang w:eastAsia="he-IL"/>
        </w:rPr>
        <w:t>, כשנכללה</w:t>
      </w:r>
      <w:r w:rsidR="00974C63" w:rsidRPr="00974C63">
        <w:rPr>
          <w:rFonts w:ascii="David" w:hAnsi="David"/>
          <w:rtl/>
          <w:lang w:eastAsia="he-IL"/>
        </w:rPr>
        <w:t xml:space="preserve"> בין הזכויות </w:t>
      </w:r>
      <w:r w:rsidR="00974C63" w:rsidRPr="00974C63">
        <w:rPr>
          <w:rFonts w:ascii="David" w:hAnsi="David" w:hint="cs"/>
          <w:rtl/>
          <w:lang w:eastAsia="he-IL"/>
        </w:rPr>
        <w:t xml:space="preserve">החוקתיות </w:t>
      </w:r>
      <w:r w:rsidR="00974C63" w:rsidRPr="00974C63">
        <w:rPr>
          <w:rFonts w:ascii="David" w:hAnsi="David"/>
          <w:rtl/>
          <w:lang w:eastAsia="he-IL"/>
        </w:rPr>
        <w:t xml:space="preserve">המנויות והמוגנות מפורשות בסעיף </w:t>
      </w:r>
      <w:r w:rsidR="00974C63">
        <w:rPr>
          <w:rFonts w:ascii="David" w:hAnsi="David"/>
          <w:rtl/>
          <w:lang w:eastAsia="he-IL"/>
        </w:rPr>
        <w:t>7 לחוק יסוד: כבוד האדם וחירותו</w:t>
      </w:r>
      <w:r w:rsidR="00974C63">
        <w:rPr>
          <w:rFonts w:ascii="David" w:hAnsi="David" w:hint="cs"/>
          <w:rtl/>
          <w:lang w:eastAsia="he-IL"/>
        </w:rPr>
        <w:t>.</w:t>
      </w:r>
      <w:r w:rsidR="00974C63">
        <w:rPr>
          <w:rFonts w:ascii="David" w:eastAsia="Calibri" w:hAnsi="David" w:hint="cs"/>
          <w:rtl/>
          <w:lang w:eastAsia="he-IL"/>
        </w:rPr>
        <w:t xml:space="preserve"> סעיף 7, שכותרתו: "</w:t>
      </w:r>
      <w:r w:rsidR="00974C63" w:rsidRPr="00E56AB4">
        <w:rPr>
          <w:rFonts w:ascii="David" w:eastAsia="Calibri" w:hAnsi="David" w:hint="cs"/>
          <w:b/>
          <w:bCs/>
          <w:rtl/>
          <w:lang w:eastAsia="he-IL"/>
        </w:rPr>
        <w:t>פרטיות וצנעת הפרט</w:t>
      </w:r>
      <w:r w:rsidR="00E56AB4">
        <w:rPr>
          <w:rFonts w:ascii="David" w:eastAsia="Calibri" w:hAnsi="David" w:hint="cs"/>
          <w:rtl/>
          <w:lang w:eastAsia="he-IL"/>
        </w:rPr>
        <w:t>"</w:t>
      </w:r>
      <w:r w:rsidR="00974C63">
        <w:rPr>
          <w:rFonts w:ascii="David" w:eastAsia="Calibri" w:hAnsi="David" w:hint="cs"/>
          <w:rtl/>
          <w:lang w:eastAsia="he-IL"/>
        </w:rPr>
        <w:t xml:space="preserve"> קובע:</w:t>
      </w:r>
    </w:p>
    <w:p w:rsidR="00154463" w:rsidRPr="00154463" w:rsidRDefault="00974C63" w:rsidP="00E56AB4">
      <w:pPr>
        <w:pStyle w:val="ad"/>
        <w:tabs>
          <w:tab w:val="left" w:pos="793"/>
        </w:tabs>
        <w:ind w:left="567" w:right="567"/>
        <w:rPr>
          <w:rFonts w:ascii="David" w:eastAsia="Calibri" w:hAnsi="David"/>
          <w:b/>
          <w:bCs/>
          <w:rtl/>
          <w:lang w:eastAsia="he-IL"/>
        </w:rPr>
      </w:pPr>
      <w:r w:rsidRPr="00154463">
        <w:rPr>
          <w:rFonts w:ascii="David" w:eastAsia="Calibri" w:hAnsi="David" w:hint="cs"/>
          <w:b/>
          <w:bCs/>
          <w:rtl/>
          <w:lang w:eastAsia="he-IL"/>
        </w:rPr>
        <w:t>"</w:t>
      </w:r>
      <w:r w:rsidR="00154463" w:rsidRPr="00154463">
        <w:rPr>
          <w:rFonts w:ascii="David" w:eastAsia="Calibri" w:hAnsi="David"/>
          <w:b/>
          <w:bCs/>
          <w:rtl/>
          <w:lang w:eastAsia="he-IL"/>
        </w:rPr>
        <w:t>(א) כל אדם זכאי לפרטיות ולצנעת חייו.</w:t>
      </w:r>
    </w:p>
    <w:p w:rsidR="00154463" w:rsidRPr="00154463" w:rsidRDefault="00154463" w:rsidP="00154463">
      <w:pPr>
        <w:pStyle w:val="ad"/>
        <w:tabs>
          <w:tab w:val="left" w:pos="793"/>
        </w:tabs>
        <w:ind w:left="567" w:right="567"/>
        <w:rPr>
          <w:rFonts w:ascii="David" w:eastAsia="Calibri" w:hAnsi="David"/>
          <w:b/>
          <w:bCs/>
          <w:rtl/>
          <w:lang w:eastAsia="he-IL"/>
        </w:rPr>
      </w:pPr>
      <w:r w:rsidRPr="00154463">
        <w:rPr>
          <w:rFonts w:ascii="David" w:eastAsia="Calibri" w:hAnsi="David"/>
          <w:b/>
          <w:bCs/>
          <w:rtl/>
          <w:lang w:eastAsia="he-IL"/>
        </w:rPr>
        <w:t>(ב) אין נכנסים לרשות היחיד של אדם שלא בהסכמתו.</w:t>
      </w:r>
    </w:p>
    <w:p w:rsidR="00154463" w:rsidRPr="00154463" w:rsidRDefault="00154463" w:rsidP="00154463">
      <w:pPr>
        <w:pStyle w:val="ad"/>
        <w:tabs>
          <w:tab w:val="left" w:pos="793"/>
        </w:tabs>
        <w:ind w:left="567" w:right="567"/>
        <w:rPr>
          <w:rFonts w:ascii="David" w:eastAsia="Calibri" w:hAnsi="David"/>
          <w:b/>
          <w:bCs/>
          <w:rtl/>
          <w:lang w:eastAsia="he-IL"/>
        </w:rPr>
      </w:pPr>
      <w:r w:rsidRPr="00154463">
        <w:rPr>
          <w:rFonts w:ascii="David" w:eastAsia="Calibri" w:hAnsi="David"/>
          <w:b/>
          <w:bCs/>
          <w:rtl/>
          <w:lang w:eastAsia="he-IL"/>
        </w:rPr>
        <w:t>(ג) אין עורכים חיפוש ברשות היחיד של אדם, על גופו, בגופו או בכליו.</w:t>
      </w:r>
    </w:p>
    <w:p w:rsidR="00974C63" w:rsidRPr="00974C63" w:rsidRDefault="00154463" w:rsidP="00154463">
      <w:pPr>
        <w:pStyle w:val="ad"/>
        <w:tabs>
          <w:tab w:val="left" w:pos="793"/>
        </w:tabs>
        <w:ind w:left="567" w:right="567"/>
        <w:jc w:val="both"/>
        <w:rPr>
          <w:rFonts w:ascii="David" w:eastAsia="Calibri" w:hAnsi="David"/>
          <w:lang w:eastAsia="he-IL"/>
        </w:rPr>
      </w:pPr>
      <w:r w:rsidRPr="00154463">
        <w:rPr>
          <w:rFonts w:ascii="David" w:eastAsia="Calibri" w:hAnsi="David"/>
          <w:b/>
          <w:bCs/>
          <w:rtl/>
          <w:lang w:eastAsia="he-IL"/>
        </w:rPr>
        <w:t>(ד) אין פוגעים בסוד שיחו של אדם, בכתביו או ברשומותיו.</w:t>
      </w:r>
      <w:r w:rsidR="00E56AB4">
        <w:rPr>
          <w:rFonts w:ascii="David" w:eastAsia="Calibri" w:hAnsi="David" w:hint="cs"/>
          <w:b/>
          <w:bCs/>
          <w:rtl/>
          <w:lang w:eastAsia="he-IL"/>
        </w:rPr>
        <w:t>"</w:t>
      </w:r>
    </w:p>
    <w:p w:rsidR="00974C63" w:rsidRDefault="00974C63" w:rsidP="00154463">
      <w:pPr>
        <w:pStyle w:val="ad"/>
        <w:tabs>
          <w:tab w:val="left" w:pos="793"/>
        </w:tabs>
        <w:spacing w:line="360" w:lineRule="auto"/>
        <w:ind w:left="0"/>
        <w:jc w:val="both"/>
        <w:rPr>
          <w:rFonts w:ascii="David" w:eastAsia="Calibri" w:hAnsi="David"/>
          <w:rtl/>
          <w:lang w:eastAsia="he-IL"/>
        </w:rPr>
      </w:pPr>
    </w:p>
    <w:p w:rsidR="00154463" w:rsidRDefault="00C1473F" w:rsidP="00C1473F">
      <w:pPr>
        <w:tabs>
          <w:tab w:val="left" w:pos="793"/>
        </w:tabs>
        <w:spacing w:line="360" w:lineRule="auto"/>
        <w:jc w:val="both"/>
        <w:rPr>
          <w:rFonts w:ascii="David" w:eastAsia="Calibri" w:hAnsi="David"/>
          <w:rtl/>
          <w:lang w:eastAsia="he-IL"/>
        </w:rPr>
      </w:pPr>
      <w:r>
        <w:rPr>
          <w:rFonts w:ascii="David" w:eastAsia="Calibri" w:hAnsi="David" w:hint="cs"/>
          <w:rtl/>
          <w:lang w:eastAsia="he-IL"/>
        </w:rPr>
        <w:t>זכות זו היא זכות חוקתית (</w:t>
      </w:r>
      <w:r w:rsidR="00154463">
        <w:rPr>
          <w:rFonts w:ascii="David" w:eastAsia="Calibri" w:hAnsi="David" w:hint="cs"/>
          <w:rtl/>
          <w:lang w:eastAsia="he-IL"/>
        </w:rPr>
        <w:t xml:space="preserve">בנוסף לעיגון החוקתי, מוגנת הזכות לפרטיות </w:t>
      </w:r>
      <w:r w:rsidR="00154463" w:rsidRPr="00154463">
        <w:rPr>
          <w:rFonts w:ascii="David" w:eastAsia="Calibri" w:hAnsi="David"/>
          <w:rtl/>
          <w:lang w:eastAsia="he-IL"/>
        </w:rPr>
        <w:t>כזכות סטטוטורית</w:t>
      </w:r>
      <w:r w:rsidR="00154463">
        <w:rPr>
          <w:rFonts w:ascii="David" w:eastAsia="Calibri" w:hAnsi="David" w:hint="cs"/>
          <w:rtl/>
          <w:lang w:eastAsia="he-IL"/>
        </w:rPr>
        <w:t>, ב</w:t>
      </w:r>
      <w:r w:rsidR="00154463" w:rsidRPr="00154463">
        <w:rPr>
          <w:rFonts w:ascii="David" w:eastAsia="Calibri" w:hAnsi="David"/>
          <w:rtl/>
          <w:lang w:eastAsia="he-IL"/>
        </w:rPr>
        <w:t>ח</w:t>
      </w:r>
      <w:r w:rsidR="00316792">
        <w:rPr>
          <w:rFonts w:ascii="David" w:eastAsia="Calibri" w:hAnsi="David"/>
          <w:rtl/>
          <w:lang w:eastAsia="he-IL"/>
        </w:rPr>
        <w:t>וק הגנת הפרטיות , התשמ"א– 1981</w:t>
      </w:r>
      <w:r>
        <w:rPr>
          <w:rFonts w:ascii="David" w:eastAsia="Calibri" w:hAnsi="David" w:hint="cs"/>
          <w:rtl/>
          <w:lang w:eastAsia="he-IL"/>
        </w:rPr>
        <w:t>)</w:t>
      </w:r>
      <w:r w:rsidR="00154463">
        <w:rPr>
          <w:rFonts w:ascii="David" w:eastAsia="Calibri" w:hAnsi="David" w:hint="cs"/>
          <w:rtl/>
          <w:lang w:eastAsia="he-IL"/>
        </w:rPr>
        <w:t>.</w:t>
      </w:r>
      <w:r w:rsidR="00664D1C">
        <w:rPr>
          <w:rFonts w:ascii="David" w:eastAsia="Calibri" w:hAnsi="David" w:hint="cs"/>
          <w:rtl/>
          <w:lang w:eastAsia="he-IL"/>
        </w:rPr>
        <w:t xml:space="preserve"> </w:t>
      </w:r>
      <w:r w:rsidRPr="00B10660">
        <w:rPr>
          <w:rFonts w:ascii="David" w:eastAsia="Calibri" w:hAnsi="David"/>
          <w:rtl/>
          <w:lang w:eastAsia="he-IL"/>
        </w:rPr>
        <w:t xml:space="preserve">חוק יסוד כבוד האדם וחירותו קובע בסעיף 11 כי: "כל רשות מרשויות השלטון חייבת לכבד את הזכויות שלפי חוק יסוד זה.". על כן הפרטיות החוקתית (כלשונו של פרופ' בירנהק בספרו </w:t>
      </w:r>
      <w:r w:rsidRPr="00C1473F">
        <w:rPr>
          <w:rFonts w:ascii="David" w:eastAsia="Calibri" w:hAnsi="David"/>
          <w:b/>
          <w:bCs/>
          <w:rtl/>
          <w:lang w:eastAsia="he-IL"/>
        </w:rPr>
        <w:t>פרטיות חוקתית</w:t>
      </w:r>
      <w:r w:rsidRPr="00B10660">
        <w:rPr>
          <w:rFonts w:ascii="David" w:eastAsia="Calibri" w:hAnsi="David"/>
          <w:rtl/>
          <w:lang w:eastAsia="he-IL"/>
        </w:rPr>
        <w:t xml:space="preserve">, 23 (2023, להלן: </w:t>
      </w:r>
      <w:r w:rsidRPr="00C1473F">
        <w:rPr>
          <w:rFonts w:ascii="David" w:eastAsia="Calibri" w:hAnsi="David"/>
          <w:b/>
          <w:bCs/>
          <w:rtl/>
          <w:lang w:eastAsia="he-IL"/>
        </w:rPr>
        <w:t>בירנהק, פרטיות חוקתית</w:t>
      </w:r>
      <w:r w:rsidRPr="00B10660">
        <w:rPr>
          <w:rFonts w:ascii="David" w:eastAsia="Calibri" w:hAnsi="David"/>
          <w:rtl/>
          <w:lang w:eastAsia="he-IL"/>
        </w:rPr>
        <w:t>), היא זכות המופנית כלפי מוסדות המדינה.</w:t>
      </w:r>
    </w:p>
    <w:p w:rsidR="00316792" w:rsidRDefault="00316792" w:rsidP="00316792">
      <w:pPr>
        <w:tabs>
          <w:tab w:val="left" w:pos="793"/>
        </w:tabs>
        <w:spacing w:line="360" w:lineRule="auto"/>
        <w:jc w:val="both"/>
        <w:rPr>
          <w:rFonts w:ascii="David" w:eastAsia="Calibri" w:hAnsi="David"/>
          <w:rtl/>
          <w:lang w:eastAsia="he-IL"/>
        </w:rPr>
      </w:pPr>
    </w:p>
    <w:p w:rsidR="00316792" w:rsidRPr="00B10660" w:rsidRDefault="00316792" w:rsidP="0048448A">
      <w:pPr>
        <w:pStyle w:val="ad"/>
        <w:numPr>
          <w:ilvl w:val="0"/>
          <w:numId w:val="1"/>
        </w:numPr>
        <w:tabs>
          <w:tab w:val="left" w:pos="793"/>
        </w:tabs>
        <w:spacing w:line="360" w:lineRule="auto"/>
        <w:jc w:val="both"/>
        <w:rPr>
          <w:rFonts w:ascii="David" w:eastAsia="Calibri" w:hAnsi="David"/>
          <w:rtl/>
          <w:lang w:eastAsia="he-IL"/>
        </w:rPr>
      </w:pPr>
      <w:r w:rsidRPr="00B10660">
        <w:rPr>
          <w:rFonts w:ascii="David" w:eastAsia="Calibri" w:hAnsi="David" w:hint="cs"/>
          <w:rtl/>
          <w:lang w:eastAsia="he-IL"/>
        </w:rPr>
        <w:t xml:space="preserve">תכליתה של </w:t>
      </w:r>
      <w:r w:rsidRPr="00B10660">
        <w:rPr>
          <w:rFonts w:ascii="David" w:eastAsia="Calibri" w:hAnsi="David"/>
          <w:rtl/>
          <w:lang w:eastAsia="he-IL"/>
        </w:rPr>
        <w:t>הזכות לפרטיות וצנעת הפרט היא להבטיח</w:t>
      </w:r>
      <w:r w:rsidRPr="00B10660">
        <w:rPr>
          <w:rFonts w:ascii="David" w:eastAsia="Calibri" w:hAnsi="David" w:hint="cs"/>
          <w:rtl/>
          <w:lang w:eastAsia="he-IL"/>
        </w:rPr>
        <w:t xml:space="preserve"> זכותו של כל מי שכפוף למרות המדינה באופן כלשהו לשמר מרחב פרטי (פיזי ודיגיטלי), ממנו המדינה </w:t>
      </w:r>
      <w:r w:rsidR="0048448A">
        <w:rPr>
          <w:rFonts w:ascii="David" w:eastAsia="Calibri" w:hAnsi="David" w:hint="cs"/>
          <w:rtl/>
          <w:lang w:eastAsia="he-IL"/>
        </w:rPr>
        <w:t>מדירה רגליה</w:t>
      </w:r>
      <w:r w:rsidRPr="00B10660">
        <w:rPr>
          <w:rFonts w:ascii="David" w:eastAsia="Calibri" w:hAnsi="David" w:hint="cs"/>
          <w:rtl/>
          <w:lang w:eastAsia="he-IL"/>
        </w:rPr>
        <w:t xml:space="preserve">. זכותו של אדם לשמור לעצמו את המידע באשר לחייו האישיים בלא לשתף בו את זולתו (לניתוח הזכות החוקתית לפרטיות ראו: אהרן ברק, </w:t>
      </w:r>
      <w:r w:rsidR="0048448A">
        <w:rPr>
          <w:rFonts w:ascii="David" w:eastAsia="Calibri" w:hAnsi="David" w:hint="cs"/>
          <w:rtl/>
          <w:lang w:eastAsia="he-IL"/>
        </w:rPr>
        <w:t>"</w:t>
      </w:r>
      <w:r w:rsidRPr="00B10660">
        <w:rPr>
          <w:rFonts w:ascii="David" w:eastAsia="Calibri" w:hAnsi="David"/>
          <w:rtl/>
          <w:lang w:eastAsia="he-IL"/>
        </w:rPr>
        <w:t xml:space="preserve">הזכות החוקתית לפרטיות וצנעת הפרט: תכליתה, חשיבותה </w:t>
      </w:r>
      <w:r w:rsidRPr="00B10660">
        <w:rPr>
          <w:rFonts w:ascii="David" w:eastAsia="Calibri" w:hAnsi="David"/>
          <w:rtl/>
          <w:lang w:eastAsia="he-IL"/>
        </w:rPr>
        <w:lastRenderedPageBreak/>
        <w:t>והיקפה</w:t>
      </w:r>
      <w:r w:rsidRPr="00B10660">
        <w:rPr>
          <w:rFonts w:ascii="David" w:eastAsia="Calibri" w:hAnsi="David" w:hint="cs"/>
          <w:rtl/>
          <w:lang w:eastAsia="he-IL"/>
        </w:rPr>
        <w:t xml:space="preserve">" </w:t>
      </w:r>
      <w:r w:rsidRPr="00B10660">
        <w:rPr>
          <w:rFonts w:ascii="David" w:eastAsia="Calibri" w:hAnsi="David" w:hint="cs"/>
          <w:b/>
          <w:bCs/>
          <w:rtl/>
          <w:lang w:eastAsia="he-IL"/>
        </w:rPr>
        <w:t>ספר עדנה ארבל</w:t>
      </w:r>
      <w:r w:rsidRPr="00B10660">
        <w:rPr>
          <w:rFonts w:ascii="David" w:eastAsia="Calibri" w:hAnsi="David" w:hint="cs"/>
          <w:rtl/>
          <w:lang w:eastAsia="he-IL"/>
        </w:rPr>
        <w:t>, 399 (</w:t>
      </w:r>
      <w:r w:rsidRPr="00B10660">
        <w:rPr>
          <w:rFonts w:ascii="David" w:eastAsia="Calibri" w:hAnsi="David"/>
          <w:rtl/>
          <w:lang w:eastAsia="he-IL"/>
        </w:rPr>
        <w:t>שלי אביב ייני, דורית ביניש, אריאל בנדור, הדר דנציג רוזנברג, קרן מילר - עורכים, 2022</w:t>
      </w:r>
      <w:r w:rsidR="00B10660">
        <w:rPr>
          <w:rFonts w:ascii="David" w:eastAsia="Calibri" w:hAnsi="David" w:hint="cs"/>
          <w:rtl/>
          <w:lang w:eastAsia="he-IL"/>
        </w:rPr>
        <w:t xml:space="preserve">, להלן: </w:t>
      </w:r>
      <w:r w:rsidR="00B10660" w:rsidRPr="00B10660">
        <w:rPr>
          <w:rFonts w:ascii="David" w:eastAsia="Calibri" w:hAnsi="David" w:hint="cs"/>
          <w:b/>
          <w:bCs/>
          <w:rtl/>
          <w:lang w:eastAsia="he-IL"/>
        </w:rPr>
        <w:t>ברק, הזכות החוקתית לפרטיות</w:t>
      </w:r>
      <w:r w:rsidR="00B10660">
        <w:rPr>
          <w:rFonts w:ascii="David" w:eastAsia="Calibri" w:hAnsi="David" w:hint="cs"/>
          <w:rtl/>
          <w:lang w:eastAsia="he-IL"/>
        </w:rPr>
        <w:t>)</w:t>
      </w:r>
      <w:r w:rsidR="00B10660" w:rsidRPr="00B10660">
        <w:rPr>
          <w:rFonts w:ascii="David" w:eastAsia="Calibri" w:hAnsi="David" w:hint="cs"/>
          <w:rtl/>
          <w:lang w:eastAsia="he-IL"/>
        </w:rPr>
        <w:t>.</w:t>
      </w:r>
    </w:p>
    <w:p w:rsidR="00316792" w:rsidRDefault="00316792" w:rsidP="00316792">
      <w:pPr>
        <w:tabs>
          <w:tab w:val="left" w:pos="793"/>
        </w:tabs>
        <w:spacing w:line="360" w:lineRule="auto"/>
        <w:jc w:val="both"/>
        <w:rPr>
          <w:rFonts w:ascii="David" w:eastAsia="Calibri" w:hAnsi="David"/>
          <w:rtl/>
          <w:lang w:eastAsia="he-IL"/>
        </w:rPr>
      </w:pPr>
    </w:p>
    <w:p w:rsidR="00B10660" w:rsidRPr="0048448A" w:rsidRDefault="00EC7EF7" w:rsidP="0048448A">
      <w:pPr>
        <w:pStyle w:val="ad"/>
        <w:numPr>
          <w:ilvl w:val="0"/>
          <w:numId w:val="1"/>
        </w:numPr>
        <w:tabs>
          <w:tab w:val="left" w:pos="793"/>
        </w:tabs>
        <w:spacing w:line="360" w:lineRule="auto"/>
        <w:jc w:val="both"/>
        <w:rPr>
          <w:rFonts w:ascii="David" w:eastAsia="Calibri" w:hAnsi="David"/>
          <w:lang w:eastAsia="he-IL"/>
        </w:rPr>
      </w:pPr>
      <w:r w:rsidRPr="00D740E9">
        <w:rPr>
          <w:rFonts w:ascii="David" w:eastAsia="Calibri" w:hAnsi="David" w:hint="cs"/>
          <w:rtl/>
          <w:lang w:eastAsia="he-IL"/>
        </w:rPr>
        <w:t xml:space="preserve">הפרטיות החוקתית משקפת את אופיה הדמוקרטי של המדינה. </w:t>
      </w:r>
      <w:r w:rsidR="00CB0189" w:rsidRPr="00D740E9">
        <w:rPr>
          <w:rFonts w:ascii="David" w:eastAsia="Calibri" w:hAnsi="David" w:hint="cs"/>
          <w:rtl/>
          <w:lang w:eastAsia="he-IL"/>
        </w:rPr>
        <w:t>ב</w:t>
      </w:r>
      <w:r w:rsidR="00CB0189" w:rsidRPr="00D740E9">
        <w:rPr>
          <w:rFonts w:ascii="David" w:eastAsia="Calibri" w:hAnsi="David"/>
          <w:rtl/>
          <w:lang w:eastAsia="he-IL"/>
        </w:rPr>
        <w:t xml:space="preserve">ע"פ 5026/97 </w:t>
      </w:r>
      <w:r w:rsidR="0048448A">
        <w:rPr>
          <w:rFonts w:ascii="David" w:eastAsia="Calibri" w:hAnsi="David" w:hint="cs"/>
          <w:b/>
          <w:bCs/>
          <w:rtl/>
          <w:lang w:eastAsia="he-IL"/>
        </w:rPr>
        <w:t xml:space="preserve">ג'ק </w:t>
      </w:r>
      <w:r w:rsidR="00CB0189" w:rsidRPr="00D740E9">
        <w:rPr>
          <w:rFonts w:ascii="David" w:eastAsia="Calibri" w:hAnsi="David"/>
          <w:b/>
          <w:bCs/>
          <w:rtl/>
          <w:lang w:eastAsia="he-IL"/>
        </w:rPr>
        <w:t>גלעם נ' מדינת ישראל</w:t>
      </w:r>
      <w:r w:rsidR="00CB0189" w:rsidRPr="00D740E9">
        <w:rPr>
          <w:rFonts w:ascii="David" w:eastAsia="Calibri" w:hAnsi="David"/>
          <w:rtl/>
          <w:lang w:eastAsia="he-IL"/>
        </w:rPr>
        <w:t xml:space="preserve">, פס' 9 </w:t>
      </w:r>
      <w:r w:rsidR="00CB0189" w:rsidRPr="00D740E9">
        <w:rPr>
          <w:rFonts w:ascii="David" w:eastAsia="Calibri" w:hAnsi="David" w:hint="cs"/>
          <w:rtl/>
          <w:lang w:eastAsia="he-IL"/>
        </w:rPr>
        <w:t>(</w:t>
      </w:r>
      <w:r w:rsidR="00CB0189" w:rsidRPr="00D740E9">
        <w:rPr>
          <w:rFonts w:ascii="David" w:eastAsia="Calibri" w:hAnsi="David"/>
          <w:rtl/>
          <w:lang w:eastAsia="he-IL"/>
        </w:rPr>
        <w:t>פורסם בנבו,</w:t>
      </w:r>
      <w:r w:rsidR="00CB0189" w:rsidRPr="00D740E9">
        <w:rPr>
          <w:rFonts w:ascii="David" w:eastAsia="Calibri" w:hAnsi="David" w:hint="cs"/>
          <w:rtl/>
          <w:lang w:eastAsia="he-IL"/>
        </w:rPr>
        <w:t xml:space="preserve"> 13.6.1999), נאמר על הזכות לפרטיות כי הינה:</w:t>
      </w:r>
      <w:r w:rsidR="00CB0189" w:rsidRPr="00CB0189">
        <w:rPr>
          <w:rtl/>
        </w:rPr>
        <w:t xml:space="preserve"> </w:t>
      </w:r>
      <w:r w:rsidR="00CB0189" w:rsidRPr="00D740E9">
        <w:rPr>
          <w:rFonts w:ascii="David" w:eastAsia="Calibri" w:hAnsi="David"/>
          <w:rtl/>
          <w:lang w:eastAsia="he-IL"/>
        </w:rPr>
        <w:t>"</w:t>
      </w:r>
      <w:r w:rsidR="00CB0189" w:rsidRPr="00D740E9">
        <w:rPr>
          <w:rFonts w:ascii="David" w:eastAsia="Calibri" w:hAnsi="David"/>
          <w:b/>
          <w:bCs/>
          <w:rtl/>
          <w:lang w:eastAsia="he-IL"/>
        </w:rPr>
        <w:t>אחת החירויות המעצבות את אופיו של המשטר בישראל</w:t>
      </w:r>
      <w:r w:rsidR="00D740E9" w:rsidRPr="00D740E9">
        <w:rPr>
          <w:rFonts w:ascii="David" w:eastAsia="Calibri" w:hAnsi="David" w:hint="cs"/>
          <w:b/>
          <w:bCs/>
          <w:rtl/>
          <w:lang w:eastAsia="he-IL"/>
        </w:rPr>
        <w:t xml:space="preserve"> </w:t>
      </w:r>
      <w:r w:rsidR="00CB0189" w:rsidRPr="00D740E9">
        <w:rPr>
          <w:rFonts w:ascii="David" w:eastAsia="Calibri" w:hAnsi="David"/>
          <w:b/>
          <w:bCs/>
          <w:rtl/>
          <w:lang w:eastAsia="he-IL"/>
        </w:rPr>
        <w:t>כמשטר דמוקרטי והיא אחת מזכויות העל המבססות את הכבוד והחירות להן זכאי אדם כאדם, כערך</w:t>
      </w:r>
      <w:r w:rsidR="00D740E9" w:rsidRPr="00D740E9">
        <w:rPr>
          <w:rFonts w:ascii="David" w:eastAsia="Calibri" w:hAnsi="David" w:hint="cs"/>
          <w:b/>
          <w:bCs/>
          <w:rtl/>
          <w:lang w:eastAsia="he-IL"/>
        </w:rPr>
        <w:t xml:space="preserve"> </w:t>
      </w:r>
      <w:r w:rsidR="00CB0189" w:rsidRPr="00D740E9">
        <w:rPr>
          <w:rFonts w:ascii="David" w:eastAsia="Calibri" w:hAnsi="David"/>
          <w:b/>
          <w:bCs/>
          <w:rtl/>
          <w:lang w:eastAsia="he-IL"/>
        </w:rPr>
        <w:t>בפני עצמו</w:t>
      </w:r>
      <w:r w:rsidR="00D740E9" w:rsidRPr="00D740E9">
        <w:rPr>
          <w:rFonts w:ascii="David" w:eastAsia="Calibri" w:hAnsi="David" w:hint="cs"/>
          <w:b/>
          <w:bCs/>
          <w:rtl/>
          <w:lang w:eastAsia="he-IL"/>
        </w:rPr>
        <w:t xml:space="preserve">" </w:t>
      </w:r>
      <w:r w:rsidR="00D740E9" w:rsidRPr="00D740E9">
        <w:rPr>
          <w:rFonts w:ascii="David" w:eastAsia="Calibri" w:hAnsi="David" w:hint="cs"/>
          <w:rtl/>
          <w:lang w:eastAsia="he-IL"/>
        </w:rPr>
        <w:t xml:space="preserve">עוד </w:t>
      </w:r>
      <w:r w:rsidRPr="00D740E9">
        <w:rPr>
          <w:rFonts w:ascii="David" w:eastAsia="Calibri" w:hAnsi="David" w:hint="cs"/>
          <w:rtl/>
          <w:lang w:eastAsia="he-IL"/>
        </w:rPr>
        <w:t>יפים לעניין זה</w:t>
      </w:r>
      <w:r w:rsidRPr="00D740E9">
        <w:rPr>
          <w:rFonts w:ascii="David" w:hAnsi="David" w:hint="cs"/>
          <w:rtl/>
          <w:lang w:eastAsia="he-IL"/>
        </w:rPr>
        <w:t xml:space="preserve"> דבריה של</w:t>
      </w:r>
      <w:r w:rsidR="00974C63" w:rsidRPr="00D740E9">
        <w:rPr>
          <w:rFonts w:ascii="David" w:hAnsi="David"/>
          <w:rtl/>
          <w:lang w:eastAsia="he-IL"/>
        </w:rPr>
        <w:t xml:space="preserve"> כב' השופטת דפנה ברק ארז בפסקה 4 לפסק דינה בבגץ 6732/20 </w:t>
      </w:r>
      <w:r w:rsidR="00974C63" w:rsidRPr="00D740E9">
        <w:rPr>
          <w:rFonts w:ascii="David" w:hAnsi="David"/>
          <w:b/>
          <w:bCs/>
          <w:rtl/>
          <w:lang w:eastAsia="he-IL"/>
        </w:rPr>
        <w:t>האגודה לזכויות האזרח בישראל נ' הכנסת</w:t>
      </w:r>
      <w:r w:rsidR="00974C63" w:rsidRPr="00D740E9">
        <w:rPr>
          <w:rFonts w:ascii="David" w:hAnsi="David"/>
          <w:rtl/>
          <w:lang w:eastAsia="he-IL"/>
        </w:rPr>
        <w:t xml:space="preserve"> (נבו 01.03.2021 להלן: </w:t>
      </w:r>
      <w:r w:rsidR="00974C63" w:rsidRPr="00D740E9">
        <w:rPr>
          <w:rFonts w:ascii="David" w:hAnsi="David"/>
          <w:b/>
          <w:bCs/>
          <w:rtl/>
          <w:lang w:eastAsia="he-IL"/>
        </w:rPr>
        <w:t>עניין האגודה לזכויות האזרח</w:t>
      </w:r>
      <w:r w:rsidR="00974C63" w:rsidRPr="00D740E9">
        <w:rPr>
          <w:rFonts w:ascii="David" w:hAnsi="David"/>
          <w:rtl/>
          <w:lang w:eastAsia="he-IL"/>
        </w:rPr>
        <w:t>): "</w:t>
      </w:r>
      <w:r w:rsidR="00974C63" w:rsidRPr="00D740E9">
        <w:rPr>
          <w:b/>
          <w:bCs/>
          <w:color w:val="000000"/>
          <w:sz w:val="28"/>
          <w:rtl/>
        </w:rPr>
        <w:t>בפסיקתו של בית משפט זה הוכרה הזכות לפרטיות כאחת מהחירויות המעצבות את אופיו הדמוקרטי של המשטר בישראל ומבססות את הכבוד הבסיסי</w:t>
      </w:r>
      <w:r w:rsidR="00D740E9" w:rsidRPr="00D740E9">
        <w:rPr>
          <w:b/>
          <w:bCs/>
          <w:color w:val="000000"/>
          <w:sz w:val="28"/>
          <w:rtl/>
        </w:rPr>
        <w:t xml:space="preserve"> שלו זכאי כל אדם באשר הוא אדם" </w:t>
      </w:r>
      <w:r w:rsidR="00D740E9" w:rsidRPr="00D740E9">
        <w:rPr>
          <w:rFonts w:hint="cs"/>
          <w:b/>
          <w:bCs/>
          <w:color w:val="000000"/>
          <w:sz w:val="28"/>
          <w:rtl/>
        </w:rPr>
        <w:t xml:space="preserve"> (</w:t>
      </w:r>
      <w:r w:rsidR="00D740E9" w:rsidRPr="00D740E9">
        <w:rPr>
          <w:rFonts w:hint="cs"/>
          <w:color w:val="000000"/>
          <w:sz w:val="28"/>
          <w:rtl/>
        </w:rPr>
        <w:t>לסקירה ואסמכתאות נוספות ראו:</w:t>
      </w:r>
      <w:r w:rsidR="00D740E9" w:rsidRPr="00D740E9">
        <w:rPr>
          <w:rtl/>
        </w:rPr>
        <w:t xml:space="preserve"> </w:t>
      </w:r>
      <w:r w:rsidR="00D740E9" w:rsidRPr="00D740E9">
        <w:rPr>
          <w:color w:val="000000"/>
          <w:sz w:val="28"/>
          <w:rtl/>
        </w:rPr>
        <w:t xml:space="preserve">יצחק עמית, </w:t>
      </w:r>
      <w:r w:rsidR="00D740E9" w:rsidRPr="00D740E9">
        <w:rPr>
          <w:b/>
          <w:bCs/>
          <w:color w:val="000000"/>
          <w:sz w:val="28"/>
          <w:rtl/>
        </w:rPr>
        <w:t>חסיונות ואינטרסים מוגנים - הליכי גילוי ועיון במשפט האזרחי והפלילי</w:t>
      </w:r>
      <w:r w:rsidR="00D740E9" w:rsidRPr="00D740E9">
        <w:rPr>
          <w:rFonts w:hint="cs"/>
          <w:color w:val="000000"/>
          <w:sz w:val="28"/>
          <w:rtl/>
        </w:rPr>
        <w:t>, 1130</w:t>
      </w:r>
      <w:r w:rsidR="00D740E9" w:rsidRPr="00D740E9">
        <w:rPr>
          <w:color w:val="000000"/>
          <w:sz w:val="28"/>
          <w:rtl/>
        </w:rPr>
        <w:t xml:space="preserve"> (2021)</w:t>
      </w:r>
      <w:r w:rsidR="00D740E9" w:rsidRPr="00D740E9">
        <w:rPr>
          <w:rFonts w:hint="cs"/>
          <w:color w:val="000000"/>
          <w:sz w:val="28"/>
          <w:rtl/>
        </w:rPr>
        <w:t>.</w:t>
      </w:r>
    </w:p>
    <w:p w:rsidR="0048448A" w:rsidRPr="0048448A" w:rsidRDefault="0048448A" w:rsidP="0048448A">
      <w:pPr>
        <w:pStyle w:val="ad"/>
        <w:rPr>
          <w:rFonts w:ascii="David" w:eastAsia="Calibri" w:hAnsi="David"/>
          <w:rtl/>
          <w:lang w:eastAsia="he-IL"/>
        </w:rPr>
      </w:pPr>
    </w:p>
    <w:p w:rsidR="00974C63" w:rsidRPr="00731FD5" w:rsidRDefault="005403EF" w:rsidP="00731FD5">
      <w:pPr>
        <w:pStyle w:val="ad"/>
        <w:numPr>
          <w:ilvl w:val="0"/>
          <w:numId w:val="1"/>
        </w:numPr>
        <w:tabs>
          <w:tab w:val="left" w:pos="793"/>
        </w:tabs>
        <w:spacing w:line="360" w:lineRule="auto"/>
        <w:jc w:val="both"/>
        <w:rPr>
          <w:rFonts w:ascii="David" w:eastAsia="Calibri" w:hAnsi="David"/>
          <w:b/>
          <w:bCs/>
          <w:lang w:eastAsia="he-IL"/>
        </w:rPr>
      </w:pPr>
      <w:r w:rsidRPr="00731FD5">
        <w:rPr>
          <w:rFonts w:ascii="David" w:eastAsia="Calibri" w:hAnsi="David" w:hint="cs"/>
          <w:b/>
          <w:bCs/>
          <w:rtl/>
          <w:lang w:eastAsia="he-IL"/>
        </w:rPr>
        <w:t xml:space="preserve">חובת המדינה לכיבוד הזכות החוקתית לפרטיות כוללת את חובתה </w:t>
      </w:r>
      <w:r w:rsidR="0048448A" w:rsidRPr="00731FD5">
        <w:rPr>
          <w:rFonts w:ascii="David" w:eastAsia="Calibri" w:hAnsi="David" w:hint="cs"/>
          <w:b/>
          <w:bCs/>
          <w:rtl/>
          <w:lang w:eastAsia="he-IL"/>
        </w:rPr>
        <w:t>שלא לפגוע בזכות זו.</w:t>
      </w:r>
      <w:r w:rsidRPr="00731FD5">
        <w:rPr>
          <w:rFonts w:ascii="David" w:eastAsia="Calibri" w:hAnsi="David" w:hint="cs"/>
          <w:b/>
          <w:bCs/>
          <w:rtl/>
          <w:lang w:eastAsia="he-IL"/>
        </w:rPr>
        <w:t xml:space="preserve"> </w:t>
      </w:r>
      <w:r w:rsidR="00C92A7E" w:rsidRPr="00731FD5">
        <w:rPr>
          <w:rFonts w:ascii="David" w:eastAsia="Calibri" w:hAnsi="David"/>
          <w:b/>
          <w:bCs/>
          <w:rtl/>
          <w:lang w:eastAsia="he-IL"/>
        </w:rPr>
        <w:t>זכויות אדם נועדו</w:t>
      </w:r>
      <w:r w:rsidR="00C92A7E" w:rsidRPr="00731FD5">
        <w:rPr>
          <w:rFonts w:ascii="David" w:eastAsia="Calibri" w:hAnsi="David" w:hint="cs"/>
          <w:b/>
          <w:bCs/>
          <w:rtl/>
          <w:lang w:eastAsia="he-IL"/>
        </w:rPr>
        <w:t xml:space="preserve"> </w:t>
      </w:r>
      <w:r w:rsidR="00C92A7E" w:rsidRPr="00731FD5">
        <w:rPr>
          <w:rFonts w:ascii="David" w:eastAsia="Calibri" w:hAnsi="David"/>
          <w:b/>
          <w:bCs/>
          <w:rtl/>
          <w:lang w:eastAsia="he-IL"/>
        </w:rPr>
        <w:t>לוודא שהמדינה אינה פוגעת</w:t>
      </w:r>
      <w:r w:rsidR="00C92A7E" w:rsidRPr="00731FD5">
        <w:rPr>
          <w:rFonts w:ascii="David" w:eastAsia="Calibri" w:hAnsi="David" w:hint="cs"/>
          <w:b/>
          <w:bCs/>
          <w:rtl/>
          <w:lang w:eastAsia="he-IL"/>
        </w:rPr>
        <w:t xml:space="preserve"> </w:t>
      </w:r>
      <w:r w:rsidR="00C92A7E" w:rsidRPr="00731FD5">
        <w:rPr>
          <w:rFonts w:ascii="David" w:eastAsia="Calibri" w:hAnsi="David"/>
          <w:b/>
          <w:bCs/>
          <w:rtl/>
          <w:lang w:eastAsia="he-IL"/>
        </w:rPr>
        <w:t xml:space="preserve">במיעוט בעת מימוש המטרות </w:t>
      </w:r>
      <w:r w:rsidR="00C92A7E" w:rsidRPr="00731FD5">
        <w:rPr>
          <w:rFonts w:ascii="David" w:eastAsia="Calibri" w:hAnsi="David" w:hint="cs"/>
          <w:b/>
          <w:bCs/>
          <w:rtl/>
          <w:lang w:eastAsia="he-IL"/>
        </w:rPr>
        <w:t>בהן מעוניין הרוב.</w:t>
      </w:r>
      <w:r w:rsidR="00C92A7E" w:rsidRPr="00731FD5">
        <w:rPr>
          <w:rFonts w:ascii="David" w:eastAsia="Calibri" w:hAnsi="David"/>
          <w:b/>
          <w:bCs/>
          <w:rtl/>
          <w:lang w:eastAsia="he-IL"/>
        </w:rPr>
        <w:t xml:space="preserve"> זכויות האדם </w:t>
      </w:r>
      <w:r w:rsidR="00C92A7E" w:rsidRPr="00731FD5">
        <w:rPr>
          <w:rFonts w:ascii="David" w:eastAsia="Calibri" w:hAnsi="David" w:hint="cs"/>
          <w:b/>
          <w:bCs/>
          <w:rtl/>
          <w:lang w:eastAsia="he-IL"/>
        </w:rPr>
        <w:t>חשובות במיוחד כאשר היחיד, או קבוצות מיעוט בחברה ניצבות</w:t>
      </w:r>
      <w:r w:rsidR="00C92A7E" w:rsidRPr="00731FD5">
        <w:rPr>
          <w:rFonts w:ascii="David" w:eastAsia="Calibri" w:hAnsi="David"/>
          <w:b/>
          <w:bCs/>
          <w:rtl/>
          <w:lang w:eastAsia="he-IL"/>
        </w:rPr>
        <w:t xml:space="preserve"> מול הרוב. </w:t>
      </w:r>
      <w:r w:rsidR="00C92A7E" w:rsidRPr="00731FD5">
        <w:rPr>
          <w:rFonts w:ascii="David" w:eastAsia="Calibri" w:hAnsi="David" w:hint="cs"/>
          <w:b/>
          <w:bCs/>
          <w:rtl/>
          <w:lang w:eastAsia="he-IL"/>
        </w:rPr>
        <w:t>כפי שציין בירנהק (פרטיות חוקתית, בעמ' 42): "</w:t>
      </w:r>
      <w:r w:rsidR="00C92A7E" w:rsidRPr="00731FD5">
        <w:rPr>
          <w:rFonts w:ascii="David" w:eastAsia="Calibri" w:hAnsi="David"/>
          <w:b/>
          <w:bCs/>
          <w:rtl/>
          <w:lang w:eastAsia="he-IL"/>
        </w:rPr>
        <w:t>זכויות האדם מסמנות למדינה את גבולות הכוח שלה:</w:t>
      </w:r>
      <w:r w:rsidR="00C92A7E" w:rsidRPr="00731FD5">
        <w:rPr>
          <w:rFonts w:ascii="David" w:eastAsia="Calibri" w:hAnsi="David" w:hint="cs"/>
          <w:b/>
          <w:bCs/>
          <w:rtl/>
          <w:lang w:eastAsia="he-IL"/>
        </w:rPr>
        <w:t xml:space="preserve"> </w:t>
      </w:r>
      <w:r w:rsidR="00C92A7E" w:rsidRPr="00731FD5">
        <w:rPr>
          <w:rFonts w:ascii="David" w:eastAsia="Calibri" w:hAnsi="David"/>
          <w:b/>
          <w:bCs/>
          <w:rtl/>
          <w:lang w:eastAsia="he-IL"/>
        </w:rPr>
        <w:t>למרות כוחה הרב – המדינה מוגבלת בפעולתה. זכויות האדם עוצרות את המדינה, מצביעות על</w:t>
      </w:r>
      <w:r w:rsidR="00C92A7E" w:rsidRPr="00731FD5">
        <w:rPr>
          <w:rFonts w:ascii="David" w:eastAsia="Calibri" w:hAnsi="David" w:hint="cs"/>
          <w:b/>
          <w:bCs/>
          <w:rtl/>
          <w:lang w:eastAsia="he-IL"/>
        </w:rPr>
        <w:t xml:space="preserve"> </w:t>
      </w:r>
      <w:r w:rsidR="00C92A7E" w:rsidRPr="00731FD5">
        <w:rPr>
          <w:rFonts w:ascii="David" w:eastAsia="Calibri" w:hAnsi="David"/>
          <w:b/>
          <w:bCs/>
          <w:rtl/>
          <w:lang w:eastAsia="he-IL"/>
        </w:rPr>
        <w:t>המקומות שאַל לה להיכנס אליהם ושבהם עליה לשמור על הזכויות, או לכל הפחות, אם היא מבקשת</w:t>
      </w:r>
      <w:r w:rsidR="00C92A7E" w:rsidRPr="00731FD5">
        <w:rPr>
          <w:rFonts w:ascii="David" w:eastAsia="Calibri" w:hAnsi="David" w:hint="cs"/>
          <w:b/>
          <w:bCs/>
          <w:rtl/>
          <w:lang w:eastAsia="he-IL"/>
        </w:rPr>
        <w:t xml:space="preserve"> </w:t>
      </w:r>
      <w:r w:rsidR="00C92A7E" w:rsidRPr="00731FD5">
        <w:rPr>
          <w:rFonts w:ascii="David" w:eastAsia="Calibri" w:hAnsi="David"/>
          <w:b/>
          <w:bCs/>
          <w:rtl/>
          <w:lang w:eastAsia="he-IL"/>
        </w:rPr>
        <w:t>לפגוע בזכות היחיד, עליה הנטל (הכבד) להסביר מדוע אין מנוס מכך</w:t>
      </w:r>
      <w:r w:rsidR="00C92A7E" w:rsidRPr="00731FD5">
        <w:rPr>
          <w:rFonts w:ascii="David" w:eastAsia="Calibri" w:hAnsi="David" w:hint="cs"/>
          <w:b/>
          <w:bCs/>
          <w:rtl/>
          <w:lang w:eastAsia="he-IL"/>
        </w:rPr>
        <w:t xml:space="preserve">". </w:t>
      </w:r>
      <w:r w:rsidRPr="00731FD5">
        <w:rPr>
          <w:rFonts w:ascii="David" w:eastAsia="Calibri" w:hAnsi="David" w:hint="cs"/>
          <w:b/>
          <w:bCs/>
          <w:rtl/>
          <w:lang w:eastAsia="he-IL"/>
        </w:rPr>
        <w:t xml:space="preserve">חוק היסוד אינו מונע מהמדינה לפגוע בפרטיות, אך מציב לכך סייגים. המדינה רשאית להיכנס למרחב הפרטי </w:t>
      </w:r>
      <w:r w:rsidR="00731FD5" w:rsidRPr="00731FD5">
        <w:rPr>
          <w:rFonts w:ascii="David" w:eastAsia="Calibri" w:hAnsi="David" w:hint="cs"/>
          <w:b/>
          <w:bCs/>
          <w:rtl/>
          <w:lang w:eastAsia="he-IL"/>
        </w:rPr>
        <w:t>בתנאי סעיף  8 לחוק היסוד, הקובע: "</w:t>
      </w:r>
      <w:r w:rsidR="00731FD5" w:rsidRPr="00731FD5">
        <w:rPr>
          <w:rtl/>
        </w:rPr>
        <w:t xml:space="preserve"> </w:t>
      </w:r>
      <w:r w:rsidR="00731FD5" w:rsidRPr="00731FD5">
        <w:rPr>
          <w:rFonts w:ascii="David" w:eastAsia="Calibri" w:hAnsi="David"/>
          <w:b/>
          <w:bCs/>
          <w:rtl/>
          <w:lang w:eastAsia="he-IL"/>
        </w:rPr>
        <w:t>אין פוגעים בזכויות שלפי חוק-יסוד זה אלא בחוק ההולם את ערכיה של מדינת ישראל, שנועד לתכלית ראויה, ובמידה שאינה עולה על הנדרש, או לפי חוק כאמור מכוח הסמכה מפורשת בו.</w:t>
      </w:r>
      <w:r w:rsidR="00731FD5" w:rsidRPr="00731FD5">
        <w:rPr>
          <w:rFonts w:ascii="David" w:eastAsia="Calibri" w:hAnsi="David" w:hint="cs"/>
          <w:b/>
          <w:bCs/>
          <w:rtl/>
          <w:lang w:eastAsia="he-IL"/>
        </w:rPr>
        <w:t>". היינו</w:t>
      </w:r>
      <w:r w:rsidR="00731FD5">
        <w:rPr>
          <w:rFonts w:ascii="David" w:eastAsia="Calibri" w:hAnsi="David" w:hint="cs"/>
          <w:b/>
          <w:bCs/>
          <w:rtl/>
          <w:lang w:eastAsia="he-IL"/>
        </w:rPr>
        <w:t>,</w:t>
      </w:r>
      <w:r w:rsidR="00731FD5" w:rsidRPr="00731FD5">
        <w:rPr>
          <w:rFonts w:ascii="David" w:eastAsia="Calibri" w:hAnsi="David" w:hint="cs"/>
          <w:b/>
          <w:bCs/>
          <w:rtl/>
          <w:lang w:eastAsia="he-IL"/>
        </w:rPr>
        <w:t xml:space="preserve"> </w:t>
      </w:r>
      <w:r w:rsidRPr="00731FD5">
        <w:rPr>
          <w:rFonts w:ascii="David" w:eastAsia="Calibri" w:hAnsi="David" w:hint="cs"/>
          <w:b/>
          <w:bCs/>
          <w:rtl/>
          <w:lang w:eastAsia="he-IL"/>
        </w:rPr>
        <w:t>כאשר הדבר מוצדק (תכלית ראויה), ורק כאשר הכניסה לתחום הפרטי נעשית לפי הסמכה מפורשת בחקיקה ובאופן מידתי.</w:t>
      </w:r>
      <w:r w:rsidR="00C92A7E" w:rsidRPr="00731FD5">
        <w:rPr>
          <w:rFonts w:ascii="David" w:eastAsia="Calibri" w:hAnsi="David" w:hint="cs"/>
          <w:b/>
          <w:bCs/>
          <w:rtl/>
          <w:lang w:eastAsia="he-IL"/>
        </w:rPr>
        <w:t xml:space="preserve"> </w:t>
      </w:r>
    </w:p>
    <w:p w:rsidR="005403EF" w:rsidRDefault="005403EF" w:rsidP="005403EF">
      <w:pPr>
        <w:pStyle w:val="ad"/>
        <w:tabs>
          <w:tab w:val="left" w:pos="793"/>
        </w:tabs>
        <w:spacing w:line="360" w:lineRule="auto"/>
        <w:ind w:left="0"/>
        <w:jc w:val="both"/>
        <w:rPr>
          <w:rFonts w:ascii="David" w:eastAsia="Calibri" w:hAnsi="David"/>
          <w:rtl/>
          <w:lang w:eastAsia="he-IL"/>
        </w:rPr>
      </w:pPr>
    </w:p>
    <w:p w:rsidR="00974C63" w:rsidRPr="0097107B" w:rsidRDefault="0097107B" w:rsidP="0097107B">
      <w:pPr>
        <w:pStyle w:val="ad"/>
        <w:numPr>
          <w:ilvl w:val="0"/>
          <w:numId w:val="1"/>
        </w:numPr>
        <w:tabs>
          <w:tab w:val="left" w:pos="793"/>
        </w:tabs>
        <w:spacing w:line="360" w:lineRule="auto"/>
        <w:jc w:val="both"/>
        <w:rPr>
          <w:rFonts w:ascii="David" w:eastAsia="Calibri" w:hAnsi="David"/>
          <w:rtl/>
          <w:lang w:eastAsia="he-IL"/>
        </w:rPr>
      </w:pPr>
      <w:r w:rsidRPr="0097107B">
        <w:rPr>
          <w:rFonts w:ascii="David" w:eastAsia="Calibri" w:hAnsi="David" w:hint="cs"/>
          <w:rtl/>
          <w:lang w:eastAsia="he-IL"/>
        </w:rPr>
        <w:t>אמנם,</w:t>
      </w:r>
      <w:r w:rsidR="005403EF" w:rsidRPr="0097107B">
        <w:rPr>
          <w:rFonts w:ascii="David" w:eastAsia="Calibri" w:hAnsi="David" w:hint="cs"/>
          <w:rtl/>
          <w:lang w:eastAsia="he-IL"/>
        </w:rPr>
        <w:t xml:space="preserve"> הזכות לפרטיות אינה מוגדרת. חוק היסוד מצהיר על הזכות לפרטיות, ומוסיף ומביא שורת מצבים בהם יראו פגיעה</w:t>
      </w:r>
      <w:r w:rsidR="00C76FB5" w:rsidRPr="0097107B">
        <w:rPr>
          <w:rFonts w:ascii="David" w:eastAsia="Calibri" w:hAnsi="David" w:hint="cs"/>
          <w:rtl/>
          <w:lang w:eastAsia="he-IL"/>
        </w:rPr>
        <w:t xml:space="preserve"> בפרטיות. גם חוק הגנת הפרטיות אינו מגדיר פרטיות מהי (אלא על דרך השלילה). בשורה ארוכה של פסקי דין התייחס בית המשפט לעמימות הזכות, מורכבותה ותחומי התפרשותה, כמו גם להצדקות השונות שלה (לפירוט והרחבה ראו:</w:t>
      </w:r>
      <w:r w:rsidR="00EF43AB">
        <w:rPr>
          <w:rFonts w:ascii="David" w:eastAsia="Calibri" w:hAnsi="David" w:hint="cs"/>
          <w:rtl/>
          <w:lang w:eastAsia="he-IL"/>
        </w:rPr>
        <w:t xml:space="preserve"> </w:t>
      </w:r>
      <w:r w:rsidR="00EF43AB" w:rsidRPr="00D4550F">
        <w:rPr>
          <w:rFonts w:ascii="David" w:eastAsia="Calibri" w:hAnsi="David" w:hint="cs"/>
          <w:b/>
          <w:bCs/>
          <w:rtl/>
          <w:lang w:eastAsia="he-IL"/>
        </w:rPr>
        <w:t>בירנהק, פרטיות חוקתית</w:t>
      </w:r>
      <w:r w:rsidR="00EF43AB">
        <w:rPr>
          <w:rFonts w:ascii="David" w:eastAsia="Calibri" w:hAnsi="David" w:hint="cs"/>
          <w:rtl/>
          <w:lang w:eastAsia="he-IL"/>
        </w:rPr>
        <w:t xml:space="preserve">, </w:t>
      </w:r>
      <w:r w:rsidR="00C76FB5" w:rsidRPr="0097107B">
        <w:rPr>
          <w:rFonts w:ascii="David" w:eastAsia="Calibri" w:hAnsi="David" w:hint="cs"/>
          <w:rtl/>
          <w:lang w:eastAsia="he-IL"/>
        </w:rPr>
        <w:t xml:space="preserve">29-27). </w:t>
      </w:r>
      <w:r w:rsidRPr="0097107B">
        <w:rPr>
          <w:rFonts w:ascii="David" w:eastAsia="Calibri" w:hAnsi="David" w:hint="cs"/>
          <w:rtl/>
          <w:lang w:eastAsia="he-IL"/>
        </w:rPr>
        <w:t>עם זאת, לא יכולה כיום להיות מחלוקת כי</w:t>
      </w:r>
      <w:r>
        <w:rPr>
          <w:rFonts w:ascii="David" w:eastAsia="Calibri" w:hAnsi="David" w:hint="cs"/>
          <w:rtl/>
          <w:lang w:eastAsia="he-IL"/>
        </w:rPr>
        <w:t xml:space="preserve"> </w:t>
      </w:r>
      <w:r w:rsidR="00974C63" w:rsidRPr="0097107B">
        <w:rPr>
          <w:rFonts w:ascii="David" w:eastAsia="Calibri" w:hAnsi="David" w:hint="cs"/>
          <w:rtl/>
          <w:lang w:eastAsia="he-IL"/>
        </w:rPr>
        <w:t>חיפוש בטלפון חכם שכיום ככלל, נושא את כל סיפור חייו של המחזיק בו, מהווה אחת מהפגיעות הקשות ביותר בפרטיות</w:t>
      </w:r>
      <w:r w:rsidR="00EF43AB">
        <w:rPr>
          <w:rFonts w:ascii="David" w:eastAsia="Calibri" w:hAnsi="David" w:hint="cs"/>
          <w:rtl/>
          <w:lang w:eastAsia="he-IL"/>
        </w:rPr>
        <w:t>, כפי שארחיב להלן</w:t>
      </w:r>
      <w:r w:rsidR="00974C63" w:rsidRPr="0097107B">
        <w:rPr>
          <w:rFonts w:ascii="David" w:eastAsia="Calibri" w:hAnsi="David" w:hint="cs"/>
          <w:rtl/>
          <w:lang w:eastAsia="he-IL"/>
        </w:rPr>
        <w:t xml:space="preserve">. </w:t>
      </w:r>
    </w:p>
    <w:p w:rsidR="00974C63" w:rsidRDefault="00974C63" w:rsidP="00A41FC0">
      <w:pPr>
        <w:tabs>
          <w:tab w:val="left" w:pos="793"/>
        </w:tabs>
        <w:spacing w:line="360" w:lineRule="auto"/>
        <w:contextualSpacing/>
        <w:jc w:val="both"/>
        <w:rPr>
          <w:rFonts w:ascii="David" w:eastAsia="Calibri" w:hAnsi="David"/>
          <w:rtl/>
          <w:lang w:eastAsia="he-IL"/>
        </w:rPr>
      </w:pPr>
    </w:p>
    <w:p w:rsidR="00D4550F" w:rsidRDefault="00D4550F" w:rsidP="00A41FC0">
      <w:pPr>
        <w:tabs>
          <w:tab w:val="left" w:pos="793"/>
        </w:tabs>
        <w:spacing w:line="360" w:lineRule="auto"/>
        <w:contextualSpacing/>
        <w:jc w:val="both"/>
        <w:rPr>
          <w:rFonts w:ascii="David" w:eastAsia="Calibri" w:hAnsi="David"/>
          <w:rtl/>
          <w:lang w:eastAsia="he-IL"/>
        </w:rPr>
      </w:pPr>
    </w:p>
    <w:p w:rsidR="0097107B" w:rsidRDefault="0097107B" w:rsidP="00D4550F">
      <w:pPr>
        <w:tabs>
          <w:tab w:val="left" w:pos="793"/>
        </w:tabs>
        <w:spacing w:line="360" w:lineRule="auto"/>
        <w:contextualSpacing/>
        <w:jc w:val="both"/>
        <w:rPr>
          <w:rFonts w:ascii="David" w:eastAsia="Calibri" w:hAnsi="David"/>
          <w:b/>
          <w:bCs/>
          <w:u w:val="single"/>
          <w:rtl/>
          <w:lang w:eastAsia="he-IL"/>
        </w:rPr>
      </w:pPr>
      <w:r w:rsidRPr="0097107B">
        <w:rPr>
          <w:rFonts w:ascii="David" w:eastAsia="Calibri" w:hAnsi="David" w:hint="cs"/>
          <w:b/>
          <w:bCs/>
          <w:u w:val="single"/>
          <w:rtl/>
          <w:lang w:eastAsia="he-IL"/>
        </w:rPr>
        <w:lastRenderedPageBreak/>
        <w:t xml:space="preserve">חיפוש בטלפון </w:t>
      </w:r>
      <w:r w:rsidR="00D4550F">
        <w:rPr>
          <w:rFonts w:ascii="David" w:eastAsia="Calibri" w:hAnsi="David" w:hint="cs"/>
          <w:b/>
          <w:bCs/>
          <w:u w:val="single"/>
          <w:rtl/>
          <w:lang w:eastAsia="he-IL"/>
        </w:rPr>
        <w:t>נייד</w:t>
      </w:r>
      <w:r w:rsidRPr="0097107B">
        <w:rPr>
          <w:rFonts w:ascii="David" w:eastAsia="Calibri" w:hAnsi="David" w:hint="cs"/>
          <w:b/>
          <w:bCs/>
          <w:u w:val="single"/>
          <w:rtl/>
          <w:lang w:eastAsia="he-IL"/>
        </w:rPr>
        <w:t xml:space="preserve"> </w:t>
      </w:r>
      <w:r w:rsidRPr="0097107B">
        <w:rPr>
          <w:rFonts w:ascii="David" w:eastAsia="Calibri" w:hAnsi="David"/>
          <w:b/>
          <w:bCs/>
          <w:u w:val="single"/>
          <w:rtl/>
          <w:lang w:eastAsia="he-IL"/>
        </w:rPr>
        <w:t>–</w:t>
      </w:r>
      <w:r w:rsidRPr="0097107B">
        <w:rPr>
          <w:rFonts w:ascii="David" w:eastAsia="Calibri" w:hAnsi="David" w:hint="cs"/>
          <w:b/>
          <w:bCs/>
          <w:u w:val="single"/>
          <w:rtl/>
          <w:lang w:eastAsia="he-IL"/>
        </w:rPr>
        <w:t xml:space="preserve"> פגיעה בפרטיות החוקתית</w:t>
      </w:r>
    </w:p>
    <w:p w:rsidR="00EF43AB" w:rsidRPr="00A41FC0" w:rsidRDefault="00EF43AB" w:rsidP="00D4550F">
      <w:pPr>
        <w:numPr>
          <w:ilvl w:val="0"/>
          <w:numId w:val="1"/>
        </w:numPr>
        <w:tabs>
          <w:tab w:val="left" w:pos="793"/>
        </w:tabs>
        <w:spacing w:before="240" w:line="360" w:lineRule="auto"/>
        <w:contextualSpacing/>
        <w:jc w:val="both"/>
        <w:rPr>
          <w:rFonts w:ascii="David" w:hAnsi="David"/>
          <w:rtl/>
          <w:lang w:eastAsia="he-IL"/>
        </w:rPr>
      </w:pPr>
      <w:r w:rsidRPr="00A41FC0">
        <w:rPr>
          <w:rFonts w:ascii="David" w:hAnsi="David"/>
          <w:rtl/>
          <w:lang w:eastAsia="he-IL"/>
        </w:rPr>
        <w:t>עם</w:t>
      </w:r>
      <w:r>
        <w:rPr>
          <w:rFonts w:ascii="David" w:hAnsi="David"/>
          <w:rtl/>
          <w:lang w:eastAsia="he-IL"/>
        </w:rPr>
        <w:t xml:space="preserve"> </w:t>
      </w:r>
      <w:r w:rsidRPr="00A41FC0">
        <w:rPr>
          <w:rFonts w:ascii="David" w:hAnsi="David"/>
          <w:rtl/>
          <w:lang w:eastAsia="he-IL"/>
        </w:rPr>
        <w:t>התפתחות הטכנולוגיה המודרנית, התפתחו גם הספרות וההלכות המשפטיות, וכיום חדירה לא מורשית למידע הנשמר באמצעים דיגיטליים של האדם מהווה פגיעה בזכותו לפרטיות, כמו חדירה לטריטוריה המוחשית הפרטית שלו</w:t>
      </w:r>
      <w:r w:rsidR="00D4550F">
        <w:rPr>
          <w:rFonts w:ascii="David" w:hAnsi="David" w:hint="cs"/>
          <w:rtl/>
          <w:lang w:eastAsia="he-IL"/>
        </w:rPr>
        <w:t>, ואולי אף מעבר לכך</w:t>
      </w:r>
      <w:r w:rsidRPr="00A41FC0">
        <w:rPr>
          <w:rFonts w:ascii="David" w:hAnsi="David"/>
          <w:rtl/>
          <w:lang w:eastAsia="he-IL"/>
        </w:rPr>
        <w:t xml:space="preserve">. עוד לפני כעשור, קבע כב' השופט אליעזר ריבלין בבש"פ 7368/05 </w:t>
      </w:r>
      <w:r w:rsidRPr="00A41FC0">
        <w:rPr>
          <w:rFonts w:ascii="David" w:hAnsi="David"/>
          <w:b/>
          <w:bCs/>
          <w:rtl/>
          <w:lang w:eastAsia="he-IL"/>
        </w:rPr>
        <w:t>אסף</w:t>
      </w:r>
      <w:r w:rsidRPr="00A41FC0">
        <w:rPr>
          <w:rFonts w:ascii="David" w:hAnsi="David"/>
          <w:rtl/>
          <w:lang w:eastAsia="he-IL"/>
        </w:rPr>
        <w:t xml:space="preserve"> </w:t>
      </w:r>
      <w:r w:rsidRPr="00A41FC0">
        <w:rPr>
          <w:rFonts w:ascii="David" w:hAnsi="David"/>
          <w:b/>
          <w:bCs/>
          <w:rtl/>
          <w:lang w:eastAsia="he-IL"/>
        </w:rPr>
        <w:t>זלוטובסקי נ' מדינת ישראל</w:t>
      </w:r>
      <w:r w:rsidRPr="00A41FC0">
        <w:rPr>
          <w:rFonts w:ascii="David" w:hAnsi="David"/>
          <w:rtl/>
          <w:lang w:eastAsia="he-IL"/>
        </w:rPr>
        <w:t xml:space="preserve">, פס' 7 (נבו, 04.09.2005) </w:t>
      </w:r>
      <w:r w:rsidR="004925B4">
        <w:rPr>
          <w:rFonts w:ascii="David" w:hAnsi="David" w:hint="cs"/>
          <w:rtl/>
          <w:lang w:eastAsia="he-IL"/>
        </w:rPr>
        <w:t>בהתייחס לחומרת ה</w:t>
      </w:r>
      <w:r w:rsidRPr="00A41FC0">
        <w:rPr>
          <w:rFonts w:ascii="David" w:hAnsi="David"/>
          <w:rtl/>
          <w:lang w:eastAsia="he-IL"/>
        </w:rPr>
        <w:t>עבירה של חדירה למחשב</w:t>
      </w:r>
      <w:r w:rsidR="004925B4">
        <w:rPr>
          <w:rFonts w:ascii="David" w:hAnsi="David" w:hint="cs"/>
          <w:rtl/>
          <w:lang w:eastAsia="he-IL"/>
        </w:rPr>
        <w:t>,</w:t>
      </w:r>
      <w:r w:rsidRPr="00A41FC0">
        <w:rPr>
          <w:rFonts w:ascii="David" w:hAnsi="David"/>
          <w:rtl/>
          <w:lang w:eastAsia="he-IL"/>
        </w:rPr>
        <w:t xml:space="preserve"> כי חדירה למחשב האישי, כמותה כחיטוט בחפצים האינטימיים שבמגירה בשולחן האישי:</w:t>
      </w:r>
    </w:p>
    <w:p w:rsidR="00EF43AB" w:rsidRPr="00A41FC0" w:rsidRDefault="00EF43AB" w:rsidP="00EF43AB">
      <w:pPr>
        <w:ind w:left="567" w:right="567"/>
        <w:jc w:val="both"/>
        <w:rPr>
          <w:rFonts w:ascii="David" w:hAnsi="David"/>
          <w:noProof w:val="0"/>
          <w:rtl/>
        </w:rPr>
      </w:pPr>
      <w:r w:rsidRPr="00A41FC0">
        <w:rPr>
          <w:rFonts w:ascii="David" w:eastAsia="David" w:hAnsi="David" w:hint="cs"/>
          <w:b/>
          <w:bCs/>
          <w:noProof w:val="0"/>
          <w:rtl/>
        </w:rPr>
        <w:t xml:space="preserve">"החדירה למחשבו האישי של אדם גרועה לא פחות מן </w:t>
      </w:r>
      <w:r w:rsidRPr="00A41FC0">
        <w:rPr>
          <w:rFonts w:ascii="David" w:hAnsi="David" w:hint="cs"/>
          <w:b/>
          <w:bCs/>
          <w:noProof w:val="0"/>
          <w:rtl/>
        </w:rPr>
        <w:t>הפריצה לביתו. ביתו של אדם הוא מבצרו, ומחשבו האישי הוא פינת הסתר החבויה במבצר, הוא המגירה האישית של בעליו, והוא אוצר בתוכו, תכופות, מידע פרטי, אישי, ולעיתים כמוס. החדירה אל המחשב האישי כמוה כחיטוט בחפציו האינטימיים. המגירה האישית אינה רק זו המצויה בשולחן העבודה של האדם".</w:t>
      </w:r>
    </w:p>
    <w:p w:rsidR="00EF43AB" w:rsidRDefault="00EF43AB" w:rsidP="00EF43AB">
      <w:pPr>
        <w:tabs>
          <w:tab w:val="left" w:pos="793"/>
        </w:tabs>
        <w:spacing w:line="360" w:lineRule="auto"/>
        <w:contextualSpacing/>
        <w:jc w:val="both"/>
        <w:rPr>
          <w:rFonts w:ascii="David" w:hAnsi="David"/>
          <w:rtl/>
        </w:rPr>
      </w:pPr>
    </w:p>
    <w:p w:rsidR="00D4550F" w:rsidRDefault="00D4550F" w:rsidP="00EF43AB">
      <w:pPr>
        <w:tabs>
          <w:tab w:val="left" w:pos="793"/>
        </w:tabs>
        <w:spacing w:line="360" w:lineRule="auto"/>
        <w:contextualSpacing/>
        <w:jc w:val="both"/>
        <w:rPr>
          <w:rFonts w:ascii="David" w:hAnsi="David"/>
          <w:rtl/>
        </w:rPr>
      </w:pPr>
      <w:r>
        <w:rPr>
          <w:rFonts w:ascii="David" w:hAnsi="David" w:hint="cs"/>
          <w:rtl/>
        </w:rPr>
        <w:t>כיום מכיל הטלפון הנייד הרבה מעבר לכל מה שאי פעם</w:t>
      </w:r>
      <w:r w:rsidR="005C68BF">
        <w:rPr>
          <w:rFonts w:ascii="David" w:hAnsi="David" w:hint="cs"/>
          <w:rtl/>
        </w:rPr>
        <w:t xml:space="preserve"> שכן במגירת השולחן.</w:t>
      </w:r>
    </w:p>
    <w:p w:rsidR="005C68BF" w:rsidRPr="00A41FC0" w:rsidRDefault="005C68BF" w:rsidP="00EF43AB">
      <w:pPr>
        <w:tabs>
          <w:tab w:val="left" w:pos="793"/>
        </w:tabs>
        <w:spacing w:line="360" w:lineRule="auto"/>
        <w:contextualSpacing/>
        <w:jc w:val="both"/>
        <w:rPr>
          <w:rFonts w:ascii="David" w:hAnsi="David"/>
          <w:rtl/>
        </w:rPr>
      </w:pPr>
    </w:p>
    <w:p w:rsidR="00EF43AB" w:rsidRPr="00A41FC0" w:rsidRDefault="00EF43AB" w:rsidP="001B239B">
      <w:pPr>
        <w:numPr>
          <w:ilvl w:val="0"/>
          <w:numId w:val="1"/>
        </w:numPr>
        <w:tabs>
          <w:tab w:val="left" w:pos="793"/>
        </w:tabs>
        <w:spacing w:before="240" w:line="360" w:lineRule="auto"/>
        <w:contextualSpacing/>
        <w:jc w:val="both"/>
        <w:rPr>
          <w:rFonts w:ascii="David" w:hAnsi="David"/>
          <w:rtl/>
          <w:lang w:eastAsia="he-IL"/>
        </w:rPr>
      </w:pPr>
      <w:r w:rsidRPr="00A41FC0">
        <w:rPr>
          <w:rFonts w:ascii="David" w:hAnsi="David"/>
          <w:rtl/>
          <w:lang w:eastAsia="he-IL"/>
        </w:rPr>
        <w:t xml:space="preserve">מאז פיתוח מכשירי טלפון </w:t>
      </w:r>
      <w:r w:rsidRPr="00A41FC0">
        <w:rPr>
          <w:rtl/>
        </w:rPr>
        <w:t xml:space="preserve">ניידים </w:t>
      </w:r>
      <w:r w:rsidRPr="00DD1BCD">
        <w:rPr>
          <w:rFonts w:ascii="David" w:hAnsi="David" w:hint="cs"/>
          <w:rtl/>
          <w:lang w:eastAsia="he-IL"/>
        </w:rPr>
        <w:t>חכמים,</w:t>
      </w:r>
      <w:r>
        <w:rPr>
          <w:rFonts w:ascii="David" w:hAnsi="David" w:hint="cs"/>
          <w:rtl/>
          <w:lang w:eastAsia="he-IL"/>
        </w:rPr>
        <w:t xml:space="preserve"> </w:t>
      </w:r>
      <w:r w:rsidR="004925B4">
        <w:rPr>
          <w:rFonts w:ascii="David" w:hAnsi="David" w:hint="cs"/>
          <w:rtl/>
          <w:lang w:eastAsia="he-IL"/>
        </w:rPr>
        <w:t>הפך הטלפון הנייד</w:t>
      </w:r>
      <w:r w:rsidRPr="00A41FC0">
        <w:rPr>
          <w:rFonts w:ascii="David" w:hAnsi="David"/>
          <w:rtl/>
          <w:lang w:eastAsia="he-IL"/>
        </w:rPr>
        <w:t xml:space="preserve"> לנכס דיגיטלי אישי וסודי של האדם</w:t>
      </w:r>
      <w:r w:rsidR="008C2247">
        <w:rPr>
          <w:rFonts w:ascii="David" w:hAnsi="David" w:hint="cs"/>
          <w:rtl/>
          <w:lang w:eastAsia="he-IL"/>
        </w:rPr>
        <w:t xml:space="preserve"> מבחינת </w:t>
      </w:r>
      <w:r w:rsidRPr="00A41FC0">
        <w:rPr>
          <w:rFonts w:ascii="David" w:hAnsi="David"/>
          <w:rtl/>
          <w:lang w:eastAsia="he-IL"/>
        </w:rPr>
        <w:t>השימוש התכוף</w:t>
      </w:r>
      <w:r w:rsidR="008C2247">
        <w:rPr>
          <w:rFonts w:ascii="David" w:hAnsi="David" w:hint="cs"/>
          <w:rtl/>
          <w:lang w:eastAsia="he-IL"/>
        </w:rPr>
        <w:t xml:space="preserve"> והיומיומי</w:t>
      </w:r>
      <w:r w:rsidRPr="00A41FC0">
        <w:rPr>
          <w:rFonts w:ascii="David" w:hAnsi="David"/>
          <w:rtl/>
          <w:lang w:eastAsia="he-IL"/>
        </w:rPr>
        <w:t xml:space="preserve"> במכשיר </w:t>
      </w:r>
      <w:r w:rsidRPr="00A41FC0">
        <w:rPr>
          <w:rtl/>
        </w:rPr>
        <w:t xml:space="preserve">הנייד </w:t>
      </w:r>
      <w:r w:rsidRPr="00A41FC0">
        <w:rPr>
          <w:rFonts w:ascii="David" w:hAnsi="David"/>
          <w:rtl/>
          <w:lang w:eastAsia="he-IL"/>
        </w:rPr>
        <w:t xml:space="preserve">בפעילויות שגורות כמו </w:t>
      </w:r>
      <w:r w:rsidR="001B239B">
        <w:rPr>
          <w:rFonts w:ascii="David" w:hAnsi="David" w:hint="cs"/>
          <w:rtl/>
          <w:lang w:eastAsia="he-IL"/>
        </w:rPr>
        <w:t>תמונות ו</w:t>
      </w:r>
      <w:r w:rsidRPr="00A41FC0">
        <w:rPr>
          <w:rFonts w:ascii="David" w:hAnsi="David"/>
          <w:rtl/>
          <w:lang w:eastAsia="he-IL"/>
        </w:rPr>
        <w:t xml:space="preserve">צילומים, </w:t>
      </w:r>
      <w:r w:rsidR="007B5284">
        <w:rPr>
          <w:rFonts w:ascii="David" w:hAnsi="David" w:hint="cs"/>
          <w:rtl/>
          <w:lang w:eastAsia="he-IL"/>
        </w:rPr>
        <w:t xml:space="preserve">קניות, </w:t>
      </w:r>
      <w:r w:rsidRPr="00A41FC0">
        <w:rPr>
          <w:rFonts w:ascii="David" w:hAnsi="David"/>
          <w:rtl/>
          <w:lang w:eastAsia="he-IL"/>
        </w:rPr>
        <w:t>תשלומים</w:t>
      </w:r>
      <w:r w:rsidR="008C2247">
        <w:rPr>
          <w:rFonts w:ascii="David" w:hAnsi="David" w:hint="cs"/>
          <w:rtl/>
          <w:lang w:eastAsia="he-IL"/>
        </w:rPr>
        <w:t>, הזמנות, שירותי ניווט, חיפוש מידע בתחומים שונים</w:t>
      </w:r>
      <w:r w:rsidR="001B239B">
        <w:rPr>
          <w:rFonts w:ascii="David" w:hAnsi="David" w:hint="cs"/>
          <w:rtl/>
          <w:lang w:eastAsia="he-IL"/>
        </w:rPr>
        <w:t xml:space="preserve">, שימוש ביישומונים  (אפליקציות) שונים </w:t>
      </w:r>
      <w:r w:rsidRPr="00A41FC0">
        <w:rPr>
          <w:rFonts w:ascii="David" w:hAnsi="David"/>
          <w:rtl/>
          <w:lang w:eastAsia="he-IL"/>
        </w:rPr>
        <w:t xml:space="preserve">ופעילות ברשתות החברתיות. בהתחשב בכך, הוכר גם הקשר החזק בין האדם לבין המכשיר האישי שלו, העולה עד כדי תלות, כפי שקבע כב' השופט יצחק עמית, </w:t>
      </w:r>
      <w:r w:rsidR="00335654">
        <w:rPr>
          <w:rFonts w:ascii="David" w:hAnsi="David" w:hint="cs"/>
          <w:rtl/>
          <w:lang w:eastAsia="he-IL"/>
        </w:rPr>
        <w:t>כשעמד במסגרת הליך פלילי, על החומרה בעבירה</w:t>
      </w:r>
      <w:r w:rsidRPr="00A41FC0">
        <w:rPr>
          <w:rFonts w:ascii="David" w:hAnsi="David"/>
          <w:rtl/>
          <w:lang w:eastAsia="he-IL"/>
        </w:rPr>
        <w:t xml:space="preserve"> של שוד טלפונים </w:t>
      </w:r>
      <w:r w:rsidR="00100F6D">
        <w:rPr>
          <w:rFonts w:ascii="David" w:hAnsi="David" w:hint="cs"/>
          <w:rtl/>
          <w:lang w:eastAsia="he-IL"/>
        </w:rPr>
        <w:t>ניידים (סמארטפונים כלשון פסק הדין),</w:t>
      </w:r>
      <w:r w:rsidRPr="00A41FC0">
        <w:rPr>
          <w:rFonts w:ascii="David" w:hAnsi="David"/>
          <w:rtl/>
          <w:lang w:eastAsia="he-IL"/>
        </w:rPr>
        <w:t xml:space="preserve"> ב</w:t>
      </w:r>
      <w:r w:rsidRPr="00E17141">
        <w:rPr>
          <w:rFonts w:ascii="David" w:hAnsi="David"/>
          <w:rtl/>
          <w:lang w:eastAsia="he-IL"/>
        </w:rPr>
        <w:t>ע"פ 8627/14 </w:t>
      </w:r>
      <w:r w:rsidRPr="00AA02A3">
        <w:rPr>
          <w:rFonts w:ascii="David" w:hAnsi="David"/>
          <w:b/>
          <w:bCs/>
          <w:rtl/>
          <w:lang w:eastAsia="he-IL"/>
        </w:rPr>
        <w:t>נתן דבראש דביר נ' מדינת ישראל</w:t>
      </w:r>
      <w:r w:rsidRPr="00E17141">
        <w:rPr>
          <w:rFonts w:ascii="David" w:hAnsi="David"/>
          <w:rtl/>
          <w:lang w:eastAsia="he-IL"/>
        </w:rPr>
        <w:t xml:space="preserve">, פס' 7 (נבו 14.07.2015 להלן: </w:t>
      </w:r>
      <w:r w:rsidRPr="00AA02A3">
        <w:rPr>
          <w:rFonts w:ascii="David" w:hAnsi="David"/>
          <w:b/>
          <w:bCs/>
          <w:rtl/>
          <w:lang w:eastAsia="he-IL"/>
        </w:rPr>
        <w:t>עניין דביר</w:t>
      </w:r>
      <w:r w:rsidRPr="00E17141">
        <w:rPr>
          <w:rFonts w:ascii="David" w:hAnsi="David"/>
          <w:rtl/>
          <w:lang w:eastAsia="he-IL"/>
        </w:rPr>
        <w:t>)‏</w:t>
      </w:r>
      <w:r w:rsidRPr="00A41FC0">
        <w:rPr>
          <w:rFonts w:ascii="David" w:hAnsi="David"/>
          <w:rtl/>
          <w:lang w:eastAsia="he-IL"/>
        </w:rPr>
        <w:t>‏:</w:t>
      </w:r>
    </w:p>
    <w:p w:rsidR="00EF43AB" w:rsidRPr="00A41FC0" w:rsidRDefault="00EF43AB" w:rsidP="00EF43AB">
      <w:pPr>
        <w:ind w:left="567" w:right="567"/>
        <w:jc w:val="both"/>
        <w:rPr>
          <w:rFonts w:ascii="David" w:eastAsia="David" w:hAnsi="David"/>
          <w:b/>
          <w:bCs/>
          <w:noProof w:val="0"/>
          <w:rtl/>
        </w:rPr>
      </w:pPr>
      <w:r w:rsidRPr="00A41FC0">
        <w:rPr>
          <w:rFonts w:ascii="David" w:eastAsia="David" w:hAnsi="David" w:hint="cs"/>
          <w:b/>
          <w:bCs/>
          <w:noProof w:val="0"/>
          <w:rtl/>
        </w:rPr>
        <w:t xml:space="preserve">"בין אם הדבר רצוי ובין אם לאו, לא ניתן להתכחש למעמד שתפס הסמארטפון בחיי חלקים נכבדים בציבור. כאמור, הסמארטפון משמש גם כמחשב, גם כמצלמה, גם כטלפון ועוד פונקציות רבות, בגינם נתפס המכשיר בעיני רבים ל"צינור" אל העולם שבחוץ, ואף לפלטפורמה באמצעותה אנשים מנהלים מערכות יחסים חברתיות. </w:t>
      </w:r>
      <w:r w:rsidRPr="00A41FC0">
        <w:rPr>
          <w:rFonts w:ascii="David" w:eastAsia="David" w:hAnsi="David" w:hint="cs"/>
          <w:b/>
          <w:bCs/>
          <w:noProof w:val="0"/>
          <w:u w:val="single"/>
          <w:rtl/>
        </w:rPr>
        <w:t>מכאן הקשר העמוק, לעיתים עד כדי תלות, בין בעל המכשיר לסמארטפון שלו.</w:t>
      </w:r>
      <w:r w:rsidRPr="00A41FC0">
        <w:rPr>
          <w:rFonts w:ascii="David" w:eastAsia="David" w:hAnsi="David" w:hint="cs"/>
          <w:b/>
          <w:bCs/>
          <w:noProof w:val="0"/>
          <w:rtl/>
        </w:rPr>
        <w:t xml:space="preserve"> לא ייפלא כי מחקרים עדכניים מלמדים כי חלקים ניכרים באוכלוסייה סובלים מרמות משתנות של חרדה מאובדן המגע עם הטלפון הסלולארי, מהפחד שלא להיות זמין. התופעה מוכרת כיום כ"נומופוביה" </w:t>
      </w:r>
      <w:r w:rsidRPr="00A41FC0">
        <w:rPr>
          <w:rFonts w:ascii="David" w:eastAsia="David" w:hAnsi="David"/>
          <w:b/>
          <w:bCs/>
          <w:noProof w:val="0"/>
        </w:rPr>
        <w:t>("No-Mobile-Phone Phobia")</w:t>
      </w:r>
      <w:r>
        <w:rPr>
          <w:rFonts w:ascii="David" w:eastAsia="David" w:hAnsi="David" w:hint="cs"/>
          <w:b/>
          <w:bCs/>
          <w:noProof w:val="0"/>
          <w:rtl/>
        </w:rPr>
        <w:t xml:space="preserve"> </w:t>
      </w:r>
      <w:r w:rsidRPr="00A41FC0">
        <w:rPr>
          <w:rFonts w:ascii="David" w:eastAsia="David" w:hAnsi="David" w:hint="cs"/>
          <w:b/>
          <w:bCs/>
          <w:noProof w:val="0"/>
          <w:rtl/>
        </w:rPr>
        <w:t>וזכתה כבר לערך ב"ויקיפדיה". גם אם אין הדברים מגיעים כדי פוביה או חרדה כהגדרתם ב</w:t>
      </w:r>
      <w:r w:rsidRPr="00A41FC0">
        <w:rPr>
          <w:rFonts w:ascii="David" w:eastAsia="David" w:hAnsi="David"/>
          <w:b/>
          <w:bCs/>
          <w:noProof w:val="0"/>
        </w:rPr>
        <w:t xml:space="preserve"> DSM</w:t>
      </w:r>
      <w:r w:rsidRPr="00A41FC0">
        <w:rPr>
          <w:rFonts w:ascii="David" w:eastAsia="David" w:hAnsi="David" w:hint="cs"/>
          <w:b/>
          <w:bCs/>
          <w:noProof w:val="0"/>
          <w:rtl/>
        </w:rPr>
        <w:t xml:space="preserve">(ספר האבחנות הפסיכיאטריות האמריקאי), </w:t>
      </w:r>
      <w:r w:rsidRPr="00A41FC0">
        <w:rPr>
          <w:rFonts w:ascii="David" w:eastAsia="David" w:hAnsi="David" w:hint="cs"/>
          <w:b/>
          <w:bCs/>
          <w:noProof w:val="0"/>
          <w:u w:val="single"/>
          <w:rtl/>
        </w:rPr>
        <w:t>יש להכיר בכך שאובדן טלפון סלולארי, על אחת כמה וכמה גניבה של טלפון סלולרי, עשויה לגרום לקורבן תופעות של אי שקט ודחק</w:t>
      </w:r>
      <w:r w:rsidRPr="00A41FC0">
        <w:rPr>
          <w:rFonts w:ascii="David" w:eastAsia="David" w:hAnsi="David" w:hint="cs"/>
          <w:b/>
          <w:bCs/>
          <w:noProof w:val="0"/>
          <w:rtl/>
        </w:rPr>
        <w:t>.</w:t>
      </w:r>
    </w:p>
    <w:p w:rsidR="00EF43AB" w:rsidRPr="00A41FC0" w:rsidRDefault="00EF43AB" w:rsidP="00EF43AB">
      <w:pPr>
        <w:ind w:left="567" w:right="567"/>
        <w:jc w:val="both"/>
        <w:rPr>
          <w:rFonts w:ascii="David" w:eastAsia="David" w:hAnsi="David"/>
          <w:noProof w:val="0"/>
          <w:rtl/>
        </w:rPr>
      </w:pPr>
      <w:r w:rsidRPr="007B5284">
        <w:rPr>
          <w:rFonts w:ascii="David" w:eastAsia="David" w:hAnsi="David" w:hint="cs"/>
          <w:b/>
          <w:bCs/>
          <w:noProof w:val="0"/>
          <w:u w:val="single"/>
          <w:rtl/>
        </w:rPr>
        <w:t>נוסף על אובדן הנגישות והחרדה המתלווה לכך, גניבת טלפון סלולרי מהווה גם חדירה למתחם פרטי ביותר של האדם. הסמארטפון הוא מעין כספת ניידת המכילה תמונות, לעיתים תמונות רגישות, התכתבויות אישיות ומידע פרטי, ולעיתים אף סודי, אשר מעצימים את החרדה מן הגניבה</w:t>
      </w:r>
      <w:r w:rsidRPr="00A41FC0">
        <w:rPr>
          <w:rFonts w:ascii="David" w:eastAsia="David" w:hAnsi="David" w:hint="cs"/>
          <w:b/>
          <w:bCs/>
          <w:noProof w:val="0"/>
          <w:rtl/>
        </w:rPr>
        <w:t xml:space="preserve">. </w:t>
      </w:r>
      <w:r w:rsidRPr="007B5284">
        <w:rPr>
          <w:rFonts w:ascii="David" w:eastAsia="David" w:hAnsi="David" w:hint="cs"/>
          <w:b/>
          <w:bCs/>
          <w:noProof w:val="0"/>
          <w:rtl/>
        </w:rPr>
        <w:t>מרבית המכשירים הסלולריים הנמכרים כיום, הינם "מכשירים חכמים", שמהווים לרוב גם שער כניסה לשלל נכסיו הדיגיטליים של האדם – חשבון דואר אלקטרוני, חשבון פייסבוק ורשתות חברתיות נוספות, אפליקציות עם גישה לחשבון הבנק וכיוצא באלה</w:t>
      </w:r>
      <w:r w:rsidRPr="00A41FC0">
        <w:rPr>
          <w:rFonts w:ascii="David" w:eastAsia="David" w:hAnsi="David" w:hint="cs"/>
          <w:b/>
          <w:bCs/>
          <w:noProof w:val="0"/>
          <w:rtl/>
        </w:rPr>
        <w:t xml:space="preserve">. ההתקדמות הטכנולוגית מן העת האחרונה, אף הופכת את המכשיר הסלולארי לאמצעי תשלום המכונה "ארנק דיגיטלי", אשר מחליף בהדרגה את כרטיסי האשראי הקשיחים. גם </w:t>
      </w:r>
      <w:r w:rsidRPr="00A41FC0">
        <w:rPr>
          <w:rFonts w:ascii="David" w:eastAsia="David" w:hAnsi="David" w:hint="cs"/>
          <w:b/>
          <w:bCs/>
          <w:noProof w:val="0"/>
          <w:rtl/>
        </w:rPr>
        <w:lastRenderedPageBreak/>
        <w:t xml:space="preserve">בהנחה שהגנב הישראלי הממוצע אינו מעוניין בתוכנו של המכשיר הסלולרי, </w:t>
      </w:r>
      <w:r w:rsidRPr="00A41FC0">
        <w:rPr>
          <w:rFonts w:ascii="David" w:eastAsia="David" w:hAnsi="David" w:hint="cs"/>
          <w:b/>
          <w:bCs/>
          <w:noProof w:val="0"/>
          <w:u w:val="single"/>
          <w:rtl/>
        </w:rPr>
        <w:t>די בידיעה כי הגניבה עלולה להביא גם לסחיטה או להפצת מידע ותוכן אישי ורגיש, כדי להעצים את החרדה ואת ת</w:t>
      </w:r>
      <w:r w:rsidR="007B5284">
        <w:rPr>
          <w:rFonts w:ascii="David" w:eastAsia="David" w:hAnsi="David" w:hint="cs"/>
          <w:b/>
          <w:bCs/>
          <w:noProof w:val="0"/>
          <w:u w:val="single"/>
          <w:rtl/>
        </w:rPr>
        <w:t>חושת אבדן השליטה של קרבן הגניבה</w:t>
      </w:r>
      <w:r w:rsidRPr="00A41FC0">
        <w:rPr>
          <w:rFonts w:ascii="David" w:eastAsia="David" w:hAnsi="David"/>
          <w:noProof w:val="0"/>
        </w:rPr>
        <w:t>)</w:t>
      </w:r>
    </w:p>
    <w:p w:rsidR="00EF43AB" w:rsidRPr="00A41FC0" w:rsidRDefault="00EF43AB" w:rsidP="00EF43AB">
      <w:pPr>
        <w:ind w:right="567" w:firstLine="567"/>
        <w:jc w:val="both"/>
        <w:rPr>
          <w:rFonts w:ascii="David" w:eastAsia="David" w:hAnsi="David"/>
          <w:b/>
          <w:bCs/>
          <w:noProof w:val="0"/>
        </w:rPr>
      </w:pPr>
      <w:r w:rsidRPr="00A41FC0">
        <w:rPr>
          <w:rFonts w:ascii="David" w:eastAsia="David" w:hAnsi="David"/>
          <w:noProof w:val="0"/>
        </w:rPr>
        <w:t xml:space="preserve"> </w:t>
      </w:r>
      <w:r w:rsidRPr="00A41FC0">
        <w:rPr>
          <w:rFonts w:ascii="David" w:eastAsia="David" w:hAnsi="David" w:hint="cs"/>
          <w:noProof w:val="0"/>
          <w:rtl/>
        </w:rPr>
        <w:t>הדגשות שלי – מ' א' ג')</w:t>
      </w:r>
    </w:p>
    <w:p w:rsidR="00EF43AB" w:rsidRPr="00A41FC0" w:rsidRDefault="00EF43AB" w:rsidP="00EF43AB">
      <w:pPr>
        <w:tabs>
          <w:tab w:val="left" w:pos="793"/>
        </w:tabs>
        <w:spacing w:line="360" w:lineRule="auto"/>
        <w:contextualSpacing/>
        <w:jc w:val="both"/>
        <w:rPr>
          <w:rFonts w:ascii="David" w:eastAsia="Calibri" w:hAnsi="David"/>
          <w:rtl/>
          <w:lang w:eastAsia="he-IL"/>
        </w:rPr>
      </w:pPr>
    </w:p>
    <w:p w:rsidR="00EF43AB" w:rsidRPr="00A41FC0" w:rsidRDefault="00EF43AB" w:rsidP="00EF43AB">
      <w:pPr>
        <w:numPr>
          <w:ilvl w:val="0"/>
          <w:numId w:val="1"/>
        </w:numPr>
        <w:tabs>
          <w:tab w:val="left" w:pos="793"/>
        </w:tabs>
        <w:spacing w:before="240" w:line="360" w:lineRule="auto"/>
        <w:contextualSpacing/>
        <w:jc w:val="both"/>
        <w:rPr>
          <w:rFonts w:ascii="David" w:hAnsi="David"/>
          <w:rtl/>
        </w:rPr>
      </w:pPr>
      <w:r w:rsidRPr="00A41FC0">
        <w:rPr>
          <w:rFonts w:ascii="David" w:hAnsi="David"/>
          <w:rtl/>
          <w:lang w:eastAsia="he-IL"/>
        </w:rPr>
        <w:t xml:space="preserve">מסקנות כב' השופט עמית נכונות ביתר שאת היום, בחלוף עשור מאז פסק הדין </w:t>
      </w:r>
      <w:r w:rsidRPr="00A41FC0">
        <w:rPr>
          <w:rFonts w:ascii="David" w:hAnsi="David"/>
          <w:b/>
          <w:bCs/>
          <w:rtl/>
          <w:lang w:eastAsia="he-IL"/>
        </w:rPr>
        <w:t>בעניין דביר</w:t>
      </w:r>
      <w:r w:rsidRPr="00A41FC0">
        <w:rPr>
          <w:rFonts w:ascii="David" w:hAnsi="David"/>
          <w:rtl/>
          <w:lang w:eastAsia="he-IL"/>
        </w:rPr>
        <w:t xml:space="preserve">. זאת, הן באשר להיקף המידע האישי והסודי השמור במכשיר </w:t>
      </w:r>
      <w:r w:rsidRPr="00A41FC0">
        <w:rPr>
          <w:rtl/>
        </w:rPr>
        <w:t>הנייד</w:t>
      </w:r>
      <w:r w:rsidRPr="00A41FC0">
        <w:rPr>
          <w:rFonts w:ascii="David" w:hAnsi="David"/>
          <w:rtl/>
          <w:lang w:eastAsia="he-IL"/>
        </w:rPr>
        <w:t xml:space="preserve">, הן באשר לשימוש הרציף בו, ועקב כך גם התלות בו והתחושות הקשות והחרדה הנגרמות לאדם מהפרדה כפויה ממנו. וכפי שניתן ללמוד גם מהחלטתו </w:t>
      </w:r>
      <w:r w:rsidRPr="00A41FC0">
        <w:rPr>
          <w:rFonts w:ascii="David" w:hAnsi="David"/>
          <w:rtl/>
        </w:rPr>
        <w:t xml:space="preserve">בבש"פ 6071/17 </w:t>
      </w:r>
      <w:r w:rsidRPr="00A41FC0">
        <w:rPr>
          <w:rFonts w:ascii="David" w:hAnsi="David"/>
          <w:b/>
          <w:bCs/>
          <w:rtl/>
        </w:rPr>
        <w:t>מדינת ישראל נ' רונאל פישר</w:t>
      </w:r>
      <w:r w:rsidRPr="00A41FC0">
        <w:rPr>
          <w:rFonts w:ascii="David" w:hAnsi="David"/>
          <w:rtl/>
        </w:rPr>
        <w:t xml:space="preserve"> (נבו, 27.08.2017 פסקה 10 להלן: </w:t>
      </w:r>
      <w:r w:rsidRPr="00A41FC0">
        <w:rPr>
          <w:rFonts w:ascii="David" w:hAnsi="David"/>
          <w:b/>
          <w:bCs/>
          <w:rtl/>
        </w:rPr>
        <w:t>עניין פישר</w:t>
      </w:r>
      <w:r w:rsidRPr="00A41FC0">
        <w:rPr>
          <w:rFonts w:ascii="David" w:hAnsi="David"/>
          <w:rtl/>
        </w:rPr>
        <w:t>) ביחס לחומרים השמורים בטלפון הנייד:</w:t>
      </w:r>
    </w:p>
    <w:p w:rsidR="00EF43AB" w:rsidRPr="00A41FC0" w:rsidRDefault="00EF43AB" w:rsidP="00EF43AB">
      <w:pPr>
        <w:ind w:left="567" w:right="567"/>
        <w:jc w:val="both"/>
        <w:rPr>
          <w:rFonts w:ascii="David" w:eastAsia="David" w:hAnsi="David"/>
          <w:b/>
          <w:bCs/>
          <w:noProof w:val="0"/>
          <w:rtl/>
        </w:rPr>
      </w:pPr>
      <w:r w:rsidRPr="00A41FC0">
        <w:rPr>
          <w:rFonts w:ascii="David" w:eastAsia="David" w:hAnsi="David" w:hint="cs"/>
          <w:b/>
          <w:bCs/>
          <w:noProof w:val="0"/>
          <w:rtl/>
        </w:rPr>
        <w:t xml:space="preserve">"מדובר בחומר רב שדרכו ניתן ללמוד גם על "סיפור חייו" של המשתמש. למעשה לא מדובר רק בסיפור חיים המשורטט בקווים כלליים, אלא בפרטי הפרטים של חיי היומיום של האדם – מקומו בבוקר ועד לכתו לישון דרך המקומות בהם שהה, האנשים עימם שוחח ותכני השיחה ("סוד השיח"), רעיונות, הגיגים, תחביבים, חברים, ידידים, מידע אינטימי ומידע עסקי, תחומי עניין וסקרנות (האתרים אליהם גולש המשתמש) ועוד." </w:t>
      </w:r>
    </w:p>
    <w:p w:rsidR="00EF43AB" w:rsidRPr="00A41FC0" w:rsidRDefault="00EF43AB" w:rsidP="00627CBA">
      <w:pPr>
        <w:tabs>
          <w:tab w:val="left" w:pos="793"/>
        </w:tabs>
        <w:spacing w:line="360" w:lineRule="auto"/>
        <w:contextualSpacing/>
        <w:jc w:val="both"/>
        <w:rPr>
          <w:rFonts w:ascii="David" w:eastAsia="Calibri" w:hAnsi="David"/>
          <w:lang w:eastAsia="he-IL"/>
        </w:rPr>
      </w:pPr>
    </w:p>
    <w:p w:rsidR="00EF43AB" w:rsidRDefault="00335654" w:rsidP="00627CBA">
      <w:pPr>
        <w:tabs>
          <w:tab w:val="left" w:pos="793"/>
        </w:tabs>
        <w:spacing w:line="360" w:lineRule="auto"/>
        <w:contextualSpacing/>
        <w:jc w:val="both"/>
        <w:rPr>
          <w:rFonts w:ascii="David" w:eastAsia="Calibri" w:hAnsi="David"/>
          <w:b/>
          <w:bCs/>
          <w:u w:val="single"/>
          <w:rtl/>
          <w:lang w:eastAsia="he-IL"/>
        </w:rPr>
      </w:pPr>
      <w:r>
        <w:rPr>
          <w:rFonts w:ascii="David" w:eastAsia="Calibri" w:hAnsi="David" w:hint="cs"/>
          <w:b/>
          <w:bCs/>
          <w:u w:val="single"/>
          <w:rtl/>
          <w:lang w:eastAsia="he-IL"/>
        </w:rPr>
        <w:t>המגבלות על עריכת חיפוש בטלפונים ניידים</w:t>
      </w:r>
    </w:p>
    <w:p w:rsidR="00A41FC0" w:rsidRDefault="007B5284" w:rsidP="00627CBA">
      <w:pPr>
        <w:pStyle w:val="ad"/>
        <w:numPr>
          <w:ilvl w:val="0"/>
          <w:numId w:val="1"/>
        </w:numPr>
        <w:tabs>
          <w:tab w:val="left" w:pos="793"/>
        </w:tabs>
        <w:spacing w:line="360" w:lineRule="auto"/>
        <w:jc w:val="both"/>
        <w:rPr>
          <w:rFonts w:ascii="David" w:hAnsi="David"/>
          <w:lang w:eastAsia="he-IL"/>
        </w:rPr>
      </w:pPr>
      <w:r w:rsidRPr="007B5284">
        <w:rPr>
          <w:rFonts w:ascii="David" w:eastAsia="Calibri" w:hAnsi="David" w:hint="cs"/>
          <w:rtl/>
          <w:lang w:eastAsia="he-IL"/>
        </w:rPr>
        <w:t xml:space="preserve">לאור היקפו ורגישותו של המידע הכלול בטלפונים הניידים שאלת החיפוש בהם היא שאלה חוקתית מהותית. </w:t>
      </w:r>
      <w:r w:rsidR="00A41FC0" w:rsidRPr="007B5284">
        <w:rPr>
          <w:rFonts w:ascii="David" w:hAnsi="David"/>
          <w:rtl/>
          <w:lang w:eastAsia="he-IL"/>
        </w:rPr>
        <w:t>שאלת החיפוש או החדירה לטלפון נייד על הפגיעה הנגזרת בזכויות אדם וההשלכות של פגיעה זו, נדונה עד כה בפסיקה ב</w:t>
      </w:r>
      <w:r w:rsidR="00EF43AB" w:rsidRPr="007B5284">
        <w:rPr>
          <w:rFonts w:ascii="David" w:hAnsi="David" w:hint="cs"/>
          <w:rtl/>
          <w:lang w:eastAsia="he-IL"/>
        </w:rPr>
        <w:t>עיקר ב</w:t>
      </w:r>
      <w:r w:rsidR="00A41FC0" w:rsidRPr="007B5284">
        <w:rPr>
          <w:rFonts w:ascii="David" w:hAnsi="David"/>
          <w:rtl/>
          <w:lang w:eastAsia="he-IL"/>
        </w:rPr>
        <w:t>שני הקשרים, הראשון והעיקרי</w:t>
      </w:r>
      <w:r>
        <w:rPr>
          <w:rFonts w:ascii="David" w:hAnsi="David" w:hint="cs"/>
          <w:rtl/>
          <w:lang w:eastAsia="he-IL"/>
        </w:rPr>
        <w:t xml:space="preserve"> במסגרת חקירת משטרה, </w:t>
      </w:r>
      <w:r w:rsidR="00A41FC0" w:rsidRPr="007B5284">
        <w:rPr>
          <w:rFonts w:ascii="David" w:hAnsi="David"/>
          <w:rtl/>
          <w:lang w:eastAsia="he-IL"/>
        </w:rPr>
        <w:t xml:space="preserve">הוראת סעיף 23א לפקודת סדר הדין הפלילי (מעצר וחיפוש) [נוסח חדש], התשכ"ט-1969 (להלן: </w:t>
      </w:r>
      <w:r w:rsidR="00A41FC0" w:rsidRPr="007B5284">
        <w:rPr>
          <w:rFonts w:ascii="David" w:hAnsi="David"/>
          <w:b/>
          <w:bCs/>
          <w:rtl/>
          <w:lang w:eastAsia="he-IL"/>
        </w:rPr>
        <w:t>סעיף 23א לפקודה</w:t>
      </w:r>
      <w:r w:rsidR="00A41FC0" w:rsidRPr="007B5284">
        <w:rPr>
          <w:rFonts w:ascii="David" w:hAnsi="David"/>
          <w:rtl/>
          <w:lang w:eastAsia="he-IL"/>
        </w:rPr>
        <w:t>) המסדיר את סוגיית החדירה לחומר מחשב לצורך חיפוש בו במסגרת חקירת משטרה</w:t>
      </w:r>
      <w:r>
        <w:rPr>
          <w:rFonts w:ascii="David" w:hAnsi="David" w:hint="cs"/>
          <w:rtl/>
          <w:lang w:eastAsia="he-IL"/>
        </w:rPr>
        <w:t xml:space="preserve"> ונכללים בו גם טלפונים ניידים</w:t>
      </w:r>
      <w:r w:rsidR="00A41FC0" w:rsidRPr="007B5284">
        <w:rPr>
          <w:rFonts w:ascii="David" w:hAnsi="David"/>
          <w:rtl/>
          <w:lang w:eastAsia="he-IL"/>
        </w:rPr>
        <w:t>, והשני, הסמכת השב"כ בעת מגפת הקורונה לאכן מיקום של אזרחים בקרבה לחולים מאומתים לפי נתונים סלולריים לצורך צמצום ההדבקה.</w:t>
      </w:r>
    </w:p>
    <w:p w:rsidR="007B5284" w:rsidRPr="00A41FC0" w:rsidRDefault="007B5284" w:rsidP="007B5284">
      <w:pPr>
        <w:numPr>
          <w:ilvl w:val="0"/>
          <w:numId w:val="1"/>
        </w:numPr>
        <w:tabs>
          <w:tab w:val="left" w:pos="793"/>
        </w:tabs>
        <w:spacing w:before="240" w:line="360" w:lineRule="auto"/>
        <w:contextualSpacing/>
        <w:jc w:val="both"/>
        <w:rPr>
          <w:rFonts w:ascii="David" w:hAnsi="David"/>
          <w:rtl/>
          <w:lang w:eastAsia="he-IL"/>
        </w:rPr>
      </w:pPr>
      <w:r w:rsidRPr="00A41FC0">
        <w:rPr>
          <w:rFonts w:ascii="David" w:hAnsi="David"/>
          <w:rtl/>
          <w:lang w:eastAsia="he-IL"/>
        </w:rPr>
        <w:t>בכל המקרים שנדונו בבית המשפט העליון בהקשרים אלו</w:t>
      </w:r>
      <w:r>
        <w:rPr>
          <w:rFonts w:ascii="David" w:hAnsi="David" w:hint="cs"/>
          <w:rtl/>
          <w:lang w:eastAsia="he-IL"/>
        </w:rPr>
        <w:t xml:space="preserve">, </w:t>
      </w:r>
      <w:r w:rsidRPr="00A41FC0">
        <w:rPr>
          <w:rFonts w:ascii="David" w:hAnsi="David"/>
          <w:rtl/>
          <w:lang w:eastAsia="he-IL"/>
        </w:rPr>
        <w:t xml:space="preserve">עמד בית המשפט, בראש ובראשונה, על משמעות החדירה לטלפונים חכמים היום, ועל הפגיעה הקשה שיש בכך הן בזכות </w:t>
      </w:r>
      <w:r>
        <w:rPr>
          <w:rFonts w:ascii="David" w:hAnsi="David" w:hint="cs"/>
          <w:rtl/>
          <w:lang w:eastAsia="he-IL"/>
        </w:rPr>
        <w:t xml:space="preserve">החוקתית </w:t>
      </w:r>
      <w:r w:rsidRPr="00A41FC0">
        <w:rPr>
          <w:rFonts w:ascii="David" w:hAnsi="David"/>
          <w:rtl/>
          <w:lang w:eastAsia="he-IL"/>
        </w:rPr>
        <w:t>לפרטיות, הן בכבוד האדם. בית המשפט, גם במקרים בהם, כאמור, עמדה הרשאה מכוח חוק מפורש בבסיס החיפוש, קבע כי יש לפרש סמכויות אלו בצמצום רב לאור משמעות הטלפון החכם כיום, והפגיעות הנלוות לכך. יש להדגיש כי במקרה שלפניי אין ולו הסמכה בנוהל לקחת טלפונים מהמגיעים לישראל, לא כל שכן לערוך בהם חיפוש ללא כל מגבלה (על סמכויות הרשות אעמוד בהרחבה להלן).</w:t>
      </w:r>
    </w:p>
    <w:p w:rsidR="007B5284" w:rsidRPr="008020E5" w:rsidRDefault="007B5284" w:rsidP="007B5284">
      <w:pPr>
        <w:pStyle w:val="ad"/>
        <w:tabs>
          <w:tab w:val="left" w:pos="793"/>
        </w:tabs>
        <w:spacing w:before="240" w:line="360" w:lineRule="auto"/>
        <w:ind w:left="0"/>
        <w:jc w:val="both"/>
        <w:rPr>
          <w:rFonts w:ascii="David" w:hAnsi="David"/>
          <w:u w:val="single"/>
          <w:rtl/>
          <w:lang w:eastAsia="he-IL"/>
        </w:rPr>
      </w:pPr>
      <w:r w:rsidRPr="008020E5">
        <w:rPr>
          <w:rFonts w:ascii="David" w:hAnsi="David" w:hint="cs"/>
          <w:u w:val="single"/>
          <w:rtl/>
          <w:lang w:eastAsia="he-IL"/>
        </w:rPr>
        <w:t>חיפוש בטלפון נייד במסגרת חקירת משטרה</w:t>
      </w:r>
    </w:p>
    <w:p w:rsidR="00A41FC0" w:rsidRPr="00A41FC0" w:rsidRDefault="00A41FC0" w:rsidP="007B5284">
      <w:pPr>
        <w:tabs>
          <w:tab w:val="left" w:pos="793"/>
        </w:tabs>
        <w:spacing w:line="360" w:lineRule="auto"/>
        <w:contextualSpacing/>
        <w:jc w:val="both"/>
        <w:rPr>
          <w:rFonts w:ascii="David" w:hAnsi="David"/>
          <w:lang w:eastAsia="he-IL"/>
        </w:rPr>
      </w:pPr>
      <w:r w:rsidRPr="00A41FC0">
        <w:rPr>
          <w:rFonts w:ascii="David" w:hAnsi="David"/>
          <w:rtl/>
          <w:lang w:eastAsia="he-IL"/>
        </w:rPr>
        <w:t xml:space="preserve"> אשר לחיפוש בחומר מחשב, קובע </w:t>
      </w:r>
      <w:r w:rsidRPr="00A41FC0">
        <w:rPr>
          <w:rFonts w:ascii="David" w:hAnsi="David"/>
          <w:b/>
          <w:bCs/>
          <w:rtl/>
          <w:lang w:eastAsia="he-IL"/>
        </w:rPr>
        <w:t xml:space="preserve">סעיף 23א לפקודת </w:t>
      </w:r>
      <w:r w:rsidRPr="00A41FC0">
        <w:rPr>
          <w:rFonts w:ascii="David" w:hAnsi="David"/>
          <w:rtl/>
          <w:lang w:eastAsia="he-IL"/>
        </w:rPr>
        <w:t>סדר הדין הפלילי הוראה ברורה לעניין זה, המתייחסת, בין היתר לעניין הפרטיות:</w:t>
      </w:r>
    </w:p>
    <w:p w:rsidR="00A41FC0" w:rsidRPr="00A41FC0" w:rsidRDefault="00A41FC0" w:rsidP="00A41FC0">
      <w:pPr>
        <w:ind w:left="567" w:right="567"/>
        <w:contextualSpacing/>
        <w:jc w:val="both"/>
        <w:rPr>
          <w:rFonts w:ascii="David" w:eastAsia="David" w:hAnsi="David"/>
          <w:b/>
          <w:bCs/>
          <w:noProof w:val="0"/>
          <w:rtl/>
          <w:lang w:eastAsia="he-IL"/>
        </w:rPr>
      </w:pPr>
      <w:r w:rsidRPr="00A41FC0">
        <w:rPr>
          <w:rFonts w:ascii="David" w:eastAsia="David" w:hAnsi="David"/>
          <w:b/>
          <w:bCs/>
          <w:noProof w:val="0"/>
          <w:rtl/>
          <w:lang w:eastAsia="he-IL"/>
        </w:rPr>
        <w:t>"חדירה לחומר מחשב</w:t>
      </w:r>
    </w:p>
    <w:p w:rsidR="00A41FC0" w:rsidRPr="00A41FC0" w:rsidRDefault="00A41FC0" w:rsidP="00A41FC0">
      <w:pPr>
        <w:ind w:left="567" w:right="567"/>
        <w:contextualSpacing/>
        <w:jc w:val="both"/>
        <w:rPr>
          <w:rFonts w:ascii="David" w:eastAsia="David" w:hAnsi="David"/>
          <w:b/>
          <w:bCs/>
          <w:noProof w:val="0"/>
          <w:rtl/>
          <w:lang w:eastAsia="he-IL"/>
        </w:rPr>
      </w:pPr>
      <w:r w:rsidRPr="00A41FC0">
        <w:rPr>
          <w:rFonts w:ascii="David" w:eastAsia="David" w:hAnsi="David"/>
          <w:b/>
          <w:bCs/>
          <w:noProof w:val="0"/>
          <w:rtl/>
          <w:lang w:eastAsia="he-IL"/>
        </w:rPr>
        <w:lastRenderedPageBreak/>
        <w:t>23א. (א) חדירה לחומר מחשב וכן הפקת פלט תוך חדירה כאמור, יראו אותן כחיפוש וייעשו על-ידי בעל תפקיד המיומן לביצוע פעולות כאמור; לענין זה, "חדירה לחומר מחשב" – כמשמעותה בסעיף 4 לחוק המחשבים, תשנ"ה-1995.</w:t>
      </w:r>
    </w:p>
    <w:p w:rsidR="00A41FC0" w:rsidRPr="00A41FC0" w:rsidRDefault="00A41FC0" w:rsidP="00A41FC0">
      <w:pPr>
        <w:ind w:left="567" w:right="567"/>
        <w:contextualSpacing/>
        <w:jc w:val="both"/>
        <w:rPr>
          <w:rFonts w:ascii="David" w:eastAsia="David" w:hAnsi="David"/>
          <w:b/>
          <w:bCs/>
          <w:noProof w:val="0"/>
          <w:rtl/>
          <w:lang w:eastAsia="he-IL"/>
        </w:rPr>
      </w:pPr>
      <w:r w:rsidRPr="00A41FC0">
        <w:rPr>
          <w:rFonts w:ascii="David" w:eastAsia="David" w:hAnsi="David"/>
          <w:b/>
          <w:bCs/>
          <w:noProof w:val="0"/>
          <w:rtl/>
          <w:lang w:eastAsia="he-IL"/>
        </w:rPr>
        <w:t xml:space="preserve">(ב) על אף הוראות פרק זה, לא ייערך חיפוש כאמור בסעיף קטן (א), אלא על-פי צו של שופט לפי סעיף 23, המציין במפורש את ההיתר לחדור לחומר מחשב או להפיק פלט, לפי הענין, </w:t>
      </w:r>
      <w:r w:rsidRPr="00A41FC0">
        <w:rPr>
          <w:rFonts w:ascii="David" w:eastAsia="David" w:hAnsi="David"/>
          <w:b/>
          <w:bCs/>
          <w:noProof w:val="0"/>
          <w:u w:val="single"/>
          <w:rtl/>
          <w:lang w:eastAsia="he-IL"/>
        </w:rPr>
        <w:t>והמפרט את מטרות החיפוש ותנאיו שייקבעו באופן שלא יפגעו בפרטיותו של אדם מעבר לנדרש</w:t>
      </w:r>
      <w:r w:rsidRPr="00A41FC0">
        <w:rPr>
          <w:rFonts w:ascii="David" w:eastAsia="David" w:hAnsi="David"/>
          <w:b/>
          <w:bCs/>
          <w:noProof w:val="0"/>
          <w:rtl/>
          <w:lang w:eastAsia="he-IL"/>
        </w:rPr>
        <w:t>.</w:t>
      </w:r>
    </w:p>
    <w:p w:rsidR="00A41FC0" w:rsidRPr="00A41FC0" w:rsidRDefault="00A41FC0" w:rsidP="00A41FC0">
      <w:pPr>
        <w:ind w:left="567" w:right="567"/>
        <w:contextualSpacing/>
        <w:jc w:val="both"/>
        <w:rPr>
          <w:rFonts w:ascii="David" w:eastAsia="David" w:hAnsi="David"/>
          <w:b/>
          <w:bCs/>
          <w:noProof w:val="0"/>
          <w:rtl/>
          <w:lang w:eastAsia="he-IL"/>
        </w:rPr>
      </w:pPr>
      <w:r w:rsidRPr="00A41FC0">
        <w:rPr>
          <w:rFonts w:ascii="David" w:eastAsia="David" w:hAnsi="David"/>
          <w:b/>
          <w:bCs/>
          <w:noProof w:val="0"/>
          <w:rtl/>
          <w:lang w:eastAsia="he-IL"/>
        </w:rPr>
        <w:t>(ג) קבלת מידע מתקשורת בין מחשבים אגב חיפוש לפי סעיף זה לא תיחשב כהאזנת סתר לפי חוק האזנת סתר, תשל"ט-1979."</w:t>
      </w:r>
    </w:p>
    <w:p w:rsidR="00A41FC0" w:rsidRPr="00A41FC0" w:rsidRDefault="00A41FC0" w:rsidP="00A41FC0">
      <w:pPr>
        <w:tabs>
          <w:tab w:val="left" w:pos="793"/>
        </w:tabs>
        <w:spacing w:line="360" w:lineRule="auto"/>
        <w:contextualSpacing/>
        <w:jc w:val="both"/>
        <w:rPr>
          <w:rFonts w:ascii="David" w:eastAsia="Calibri" w:hAnsi="David"/>
          <w:rtl/>
          <w:lang w:eastAsia="he-IL"/>
        </w:rPr>
      </w:pPr>
    </w:p>
    <w:p w:rsidR="00E17141" w:rsidRDefault="00A41FC0" w:rsidP="008020E5">
      <w:pPr>
        <w:numPr>
          <w:ilvl w:val="0"/>
          <w:numId w:val="1"/>
        </w:numPr>
        <w:tabs>
          <w:tab w:val="left" w:pos="793"/>
        </w:tabs>
        <w:spacing w:before="240" w:line="360" w:lineRule="auto"/>
        <w:contextualSpacing/>
        <w:jc w:val="both"/>
        <w:rPr>
          <w:rFonts w:ascii="David" w:hAnsi="David"/>
          <w:lang w:eastAsia="he-IL"/>
        </w:rPr>
      </w:pPr>
      <w:r w:rsidRPr="00A41FC0">
        <w:rPr>
          <w:rFonts w:ascii="David" w:hAnsi="David"/>
          <w:rtl/>
          <w:lang w:eastAsia="he-IL"/>
        </w:rPr>
        <w:t xml:space="preserve">בבש"פ 1758/20 </w:t>
      </w:r>
      <w:r w:rsidRPr="00A41FC0">
        <w:rPr>
          <w:rFonts w:ascii="David" w:hAnsi="David"/>
          <w:b/>
          <w:bCs/>
          <w:rtl/>
          <w:lang w:eastAsia="he-IL"/>
        </w:rPr>
        <w:t>יונתן אוריך נ' מדינת ישראל</w:t>
      </w:r>
      <w:r w:rsidRPr="00A41FC0">
        <w:rPr>
          <w:rFonts w:ascii="David" w:hAnsi="David"/>
          <w:rtl/>
          <w:lang w:eastAsia="he-IL"/>
        </w:rPr>
        <w:t xml:space="preserve"> (נבו, 26.01.2021) ובדנפ 1062/21 </w:t>
      </w:r>
      <w:r w:rsidRPr="00A41FC0">
        <w:rPr>
          <w:rFonts w:ascii="David" w:hAnsi="David"/>
          <w:b/>
          <w:bCs/>
          <w:rtl/>
          <w:lang w:eastAsia="he-IL"/>
        </w:rPr>
        <w:t>יונתן אוריך נ' מדינת ישראל</w:t>
      </w:r>
      <w:r w:rsidRPr="00A41FC0">
        <w:rPr>
          <w:rFonts w:ascii="David" w:hAnsi="David"/>
          <w:rtl/>
          <w:lang w:eastAsia="he-IL"/>
        </w:rPr>
        <w:t xml:space="preserve"> (נבו, 11.01.2022) (להלן בהתאמה: בנפרד: </w:t>
      </w:r>
      <w:r w:rsidRPr="00A41FC0">
        <w:rPr>
          <w:rFonts w:ascii="David" w:hAnsi="David"/>
          <w:b/>
          <w:bCs/>
          <w:rtl/>
          <w:lang w:eastAsia="he-IL"/>
        </w:rPr>
        <w:t>עניין אוריך 20</w:t>
      </w:r>
      <w:r w:rsidRPr="00A41FC0">
        <w:rPr>
          <w:rFonts w:ascii="David" w:hAnsi="David"/>
          <w:rtl/>
          <w:lang w:eastAsia="he-IL"/>
        </w:rPr>
        <w:t xml:space="preserve">, </w:t>
      </w:r>
      <w:r w:rsidRPr="00A41FC0">
        <w:rPr>
          <w:rFonts w:ascii="David" w:hAnsi="David"/>
          <w:b/>
          <w:bCs/>
          <w:rtl/>
          <w:lang w:eastAsia="he-IL"/>
        </w:rPr>
        <w:t>עניין אוריך 21</w:t>
      </w:r>
      <w:r w:rsidRPr="00A41FC0">
        <w:rPr>
          <w:rFonts w:ascii="David" w:hAnsi="David"/>
          <w:rtl/>
          <w:lang w:eastAsia="he-IL"/>
        </w:rPr>
        <w:t xml:space="preserve">, ויחד: </w:t>
      </w:r>
      <w:r w:rsidRPr="00A41FC0">
        <w:rPr>
          <w:rFonts w:ascii="David" w:hAnsi="David"/>
          <w:b/>
          <w:bCs/>
          <w:rtl/>
          <w:lang w:eastAsia="he-IL"/>
        </w:rPr>
        <w:t>עניין אוריך</w:t>
      </w:r>
      <w:r w:rsidRPr="00A41FC0">
        <w:rPr>
          <w:rFonts w:ascii="David" w:hAnsi="David"/>
          <w:rtl/>
          <w:lang w:eastAsia="he-IL"/>
        </w:rPr>
        <w:t>), דן בימ"ש במקרה שבו חשודים בהטרדת עד נחקרו במשטרה, ובמהלך חקירותיהם נעשה חיפוש בהסכמתם במכשירי הטלפון הניידים שלהם ובוצעו מספר צילומי מסך, אך זאת מבלי שהוצא צו חדירה למכשירים, וללא שהובהר להם כי הם רשאים להתנגד לחיפוש מבלי שההתנגדות תיזקף לחובתם</w:t>
      </w:r>
      <w:r w:rsidR="008020E5">
        <w:rPr>
          <w:rFonts w:ascii="David" w:hAnsi="David" w:hint="cs"/>
          <w:rtl/>
          <w:lang w:eastAsia="he-IL"/>
        </w:rPr>
        <w:t>, בדומה לאופן התנהלות בקרי הגבול במקרה שלפניי</w:t>
      </w:r>
      <w:r w:rsidRPr="00A41FC0">
        <w:rPr>
          <w:rFonts w:ascii="David" w:hAnsi="David"/>
          <w:rtl/>
          <w:lang w:eastAsia="he-IL"/>
        </w:rPr>
        <w:t xml:space="preserve">. </w:t>
      </w:r>
      <w:r w:rsidR="008020E5" w:rsidRPr="008020E5">
        <w:rPr>
          <w:rFonts w:ascii="David" w:hAnsi="David" w:hint="cs"/>
          <w:b/>
          <w:bCs/>
          <w:rtl/>
          <w:lang w:eastAsia="he-IL"/>
        </w:rPr>
        <w:t>בעניין אוריך</w:t>
      </w:r>
      <w:r w:rsidRPr="008020E5">
        <w:rPr>
          <w:rFonts w:ascii="David" w:hAnsi="David"/>
          <w:b/>
          <w:bCs/>
          <w:rtl/>
          <w:lang w:eastAsia="he-IL"/>
        </w:rPr>
        <w:t>,</w:t>
      </w:r>
      <w:r w:rsidRPr="00A41FC0">
        <w:rPr>
          <w:rFonts w:ascii="David" w:hAnsi="David"/>
          <w:rtl/>
          <w:lang w:eastAsia="he-IL"/>
        </w:rPr>
        <w:t xml:space="preserve"> כאשר הבינו חלק מהמבקשים במהלך החיפוש, שהחוקרים מעיינים בחומרים שאינם רלבנטיים לעניין מושא החקירה, ביקשו להפסיק את החיפוש, והוא נפסק. כשהסתיימו החקירות הגישה המשטרה בקשה לק</w:t>
      </w:r>
      <w:r w:rsidR="008020E5">
        <w:rPr>
          <w:rFonts w:ascii="David" w:hAnsi="David"/>
          <w:rtl/>
          <w:lang w:eastAsia="he-IL"/>
        </w:rPr>
        <w:t>בלת צווי חדירה לטלפונים הניידים</w:t>
      </w:r>
      <w:r w:rsidR="008020E5">
        <w:rPr>
          <w:rFonts w:ascii="David" w:hAnsi="David" w:hint="cs"/>
          <w:rtl/>
          <w:lang w:eastAsia="he-IL"/>
        </w:rPr>
        <w:t>, ושאלת סמכותה נדונה בהליך.</w:t>
      </w:r>
    </w:p>
    <w:p w:rsidR="00A41FC0" w:rsidRPr="00A41FC0" w:rsidRDefault="00A41FC0" w:rsidP="00474A18">
      <w:pPr>
        <w:tabs>
          <w:tab w:val="left" w:pos="793"/>
        </w:tabs>
        <w:spacing w:before="240" w:line="360" w:lineRule="auto"/>
        <w:contextualSpacing/>
        <w:jc w:val="both"/>
        <w:rPr>
          <w:rFonts w:ascii="David" w:hAnsi="David"/>
          <w:rtl/>
          <w:lang w:eastAsia="he-IL"/>
        </w:rPr>
      </w:pPr>
    </w:p>
    <w:p w:rsidR="00A41FC0" w:rsidRPr="00A41FC0" w:rsidRDefault="00A41FC0" w:rsidP="00A41FC0">
      <w:pPr>
        <w:numPr>
          <w:ilvl w:val="0"/>
          <w:numId w:val="1"/>
        </w:numPr>
        <w:tabs>
          <w:tab w:val="left" w:pos="793"/>
        </w:tabs>
        <w:spacing w:before="240" w:line="360" w:lineRule="auto"/>
        <w:contextualSpacing/>
        <w:jc w:val="both"/>
        <w:rPr>
          <w:rFonts w:ascii="David" w:hAnsi="David"/>
          <w:rtl/>
          <w:lang w:eastAsia="he-IL"/>
        </w:rPr>
      </w:pPr>
      <w:r w:rsidRPr="00A41FC0">
        <w:rPr>
          <w:rFonts w:ascii="David" w:hAnsi="David"/>
          <w:rtl/>
          <w:lang w:eastAsia="he-IL"/>
        </w:rPr>
        <w:t xml:space="preserve">כב' השופט מלצר בעניין </w:t>
      </w:r>
      <w:r w:rsidRPr="00A41FC0">
        <w:rPr>
          <w:rFonts w:ascii="David" w:hAnsi="David"/>
          <w:b/>
          <w:bCs/>
          <w:rtl/>
          <w:lang w:eastAsia="he-IL"/>
        </w:rPr>
        <w:t>אוריך 20</w:t>
      </w:r>
      <w:r w:rsidRPr="00A41FC0">
        <w:rPr>
          <w:rFonts w:ascii="David" w:hAnsi="David"/>
          <w:rtl/>
          <w:lang w:eastAsia="he-IL"/>
        </w:rPr>
        <w:t xml:space="preserve">, דן בזכות החוקתית לפרטיות, ציטט מדברי כב' השופט עמית </w:t>
      </w:r>
      <w:r w:rsidRPr="00A41FC0">
        <w:rPr>
          <w:rFonts w:ascii="David" w:hAnsi="David"/>
          <w:b/>
          <w:bCs/>
          <w:rtl/>
          <w:lang w:eastAsia="he-IL"/>
        </w:rPr>
        <w:t>בעניין פישר</w:t>
      </w:r>
      <w:r w:rsidRPr="00A41FC0">
        <w:rPr>
          <w:rFonts w:ascii="David" w:hAnsi="David"/>
          <w:rtl/>
          <w:lang w:eastAsia="he-IL"/>
        </w:rPr>
        <w:t>, והוסיף דברים היפים גם לעניין שלפניי</w:t>
      </w:r>
      <w:r w:rsidR="00E17141">
        <w:rPr>
          <w:rFonts w:ascii="David" w:hAnsi="David" w:hint="cs"/>
          <w:rtl/>
          <w:lang w:eastAsia="he-IL"/>
        </w:rPr>
        <w:t>, שהובאו בפתח הדברים</w:t>
      </w:r>
      <w:r w:rsidRPr="00A41FC0">
        <w:rPr>
          <w:rFonts w:ascii="David" w:hAnsi="David"/>
          <w:rtl/>
          <w:lang w:eastAsia="he-IL"/>
        </w:rPr>
        <w:t xml:space="preserve"> (שם, בפס' 19 לפסק דינו):</w:t>
      </w:r>
    </w:p>
    <w:p w:rsidR="00A41FC0" w:rsidRPr="00A41FC0" w:rsidRDefault="00A41FC0" w:rsidP="00A41FC0">
      <w:pPr>
        <w:ind w:left="567" w:right="567"/>
        <w:jc w:val="both"/>
        <w:rPr>
          <w:rFonts w:ascii="David" w:eastAsia="David" w:hAnsi="David"/>
          <w:b/>
          <w:bCs/>
          <w:noProof w:val="0"/>
        </w:rPr>
      </w:pPr>
      <w:r w:rsidRPr="00A41FC0">
        <w:rPr>
          <w:rFonts w:ascii="Century" w:eastAsia="David" w:hAnsi="Century" w:hint="cs"/>
          <w:b/>
          <w:bCs/>
          <w:noProof w:val="0"/>
          <w:rtl/>
        </w:rPr>
        <w:t>"</w:t>
      </w:r>
      <w:r w:rsidRPr="00A41FC0">
        <w:rPr>
          <w:rFonts w:ascii="David" w:eastAsia="David" w:hAnsi="David" w:hint="cs"/>
          <w:b/>
          <w:bCs/>
          <w:noProof w:val="0"/>
          <w:rtl/>
        </w:rPr>
        <w:t>הנה כי כן, כל חדירה לטלפון סלולרי המשמש לצרכיו האישיים של אדם – פוגעת באופן חמור ביותר בפרטיותו, ולפיכך יש צורך לקבל מראש צו שיפוטי לצורך זה, וגם צו שכזה, ככל שניתן, חייב לציין במפורש את מטרות החיפוש וכן יש לקבוע בו תנאים שיבטיחו שהחוקרים לא יפגעו בפרטיות של האדם בו מדובר מעבר לנדרש. ההגבלות הללו מלמדות עד כמה פוגענית והרסנית היא החדירה מבלי שהתקבל צו שיפוטי (או הסכמה בתנאי הלכת בן חיים), כאשר החוקרים יכולים לכאורה לשוטט בטלפון הסלולרי כאוות נפשם ולשאוב ממנו חומרים ללא הגבלה".</w:t>
      </w:r>
    </w:p>
    <w:p w:rsidR="00A41FC0" w:rsidRPr="00A41FC0" w:rsidRDefault="00A41FC0" w:rsidP="00A41FC0">
      <w:pPr>
        <w:tabs>
          <w:tab w:val="left" w:pos="793"/>
        </w:tabs>
        <w:spacing w:line="360" w:lineRule="auto"/>
        <w:contextualSpacing/>
        <w:jc w:val="both"/>
        <w:rPr>
          <w:rFonts w:ascii="David" w:eastAsia="Calibri" w:hAnsi="David"/>
          <w:lang w:eastAsia="he-IL"/>
        </w:rPr>
      </w:pPr>
    </w:p>
    <w:p w:rsidR="00A41FC0" w:rsidRPr="00A41FC0" w:rsidRDefault="00A41FC0" w:rsidP="00DD1BCD">
      <w:pPr>
        <w:numPr>
          <w:ilvl w:val="0"/>
          <w:numId w:val="1"/>
        </w:numPr>
        <w:tabs>
          <w:tab w:val="left" w:pos="793"/>
        </w:tabs>
        <w:spacing w:before="240" w:line="360" w:lineRule="auto"/>
        <w:contextualSpacing/>
        <w:jc w:val="both"/>
        <w:rPr>
          <w:rFonts w:ascii="David" w:hAnsi="David"/>
          <w:rtl/>
          <w:lang w:eastAsia="he-IL"/>
        </w:rPr>
      </w:pPr>
      <w:r w:rsidRPr="00A41FC0">
        <w:rPr>
          <w:rFonts w:ascii="David" w:hAnsi="David"/>
          <w:rtl/>
          <w:lang w:eastAsia="he-IL"/>
        </w:rPr>
        <w:t xml:space="preserve">בעניין </w:t>
      </w:r>
      <w:r w:rsidRPr="00A41FC0">
        <w:rPr>
          <w:rFonts w:ascii="David" w:hAnsi="David"/>
          <w:b/>
          <w:bCs/>
          <w:rtl/>
          <w:lang w:eastAsia="he-IL"/>
        </w:rPr>
        <w:t>אוריך 21</w:t>
      </w:r>
      <w:r w:rsidRPr="00A41FC0">
        <w:rPr>
          <w:rFonts w:ascii="David" w:hAnsi="David"/>
          <w:rtl/>
          <w:lang w:eastAsia="he-IL"/>
        </w:rPr>
        <w:t>, כב' הנשיאה אסתר חיות עמדה בהרחבה על קיום "</w:t>
      </w:r>
      <w:r w:rsidRPr="00A41FC0">
        <w:rPr>
          <w:rFonts w:ascii="David" w:hAnsi="David"/>
          <w:b/>
          <w:bCs/>
          <w:rtl/>
          <w:lang w:eastAsia="he-IL"/>
        </w:rPr>
        <w:t>מתח מובנה בין האינטרס להבטיח חקירה מהירה ויעילה לשם לוחמה בפשיעה והגנה על שלום הציבור ועל מנת להגיע לחקר האמת, ובין הצורך להבטיח את זכויותיהם של נחקרים, חשודים וצדדים שלישיים</w:t>
      </w:r>
      <w:r w:rsidRPr="00A41FC0">
        <w:rPr>
          <w:rFonts w:ascii="David" w:hAnsi="David"/>
          <w:rtl/>
          <w:lang w:eastAsia="he-IL"/>
        </w:rPr>
        <w:t>", אשר כרוך מעצם טבעו בפגיעה מסוימת בזכויות הנחקרים, אך סייגה כי "</w:t>
      </w:r>
      <w:r w:rsidRPr="00A41FC0">
        <w:rPr>
          <w:rFonts w:ascii="David" w:hAnsi="David"/>
          <w:b/>
          <w:bCs/>
          <w:rtl/>
          <w:lang w:eastAsia="he-IL"/>
        </w:rPr>
        <w:t>אין משמעות הדבר שהמטרה מכשירה את כל האמצעים. מרחב הפעולה של רשויות החקירה לעולם כפוף למגבלות ולסייגים שנועדו להבטיח משפט הוגן ומידתיות של הפגיעה בזכויות נחקרים (לרבות חשודים ועֵדים) וכן צדדים שלישיים</w:t>
      </w:r>
      <w:r w:rsidRPr="00A41FC0">
        <w:rPr>
          <w:rFonts w:ascii="David" w:hAnsi="David"/>
          <w:rtl/>
          <w:lang w:eastAsia="he-IL"/>
        </w:rPr>
        <w:t>" (שם, ס' 27 לפסק דינה). כב' הנשיאה עמדה על האתגרים להתאים את החוק  להתפתחות הטכנולוגית המואצת, ועל כי "</w:t>
      </w:r>
      <w:r w:rsidRPr="00A41FC0">
        <w:rPr>
          <w:rFonts w:ascii="David" w:hAnsi="David"/>
          <w:b/>
          <w:bCs/>
          <w:rtl/>
          <w:lang w:eastAsia="he-IL"/>
        </w:rPr>
        <w:t xml:space="preserve">בשים לב לפגיעה הקשה בפרטיות שעלולה להיגרם כתוצאה מחיפוש במחשב או בטלפון חכם של אדם, יש להבטיח שחדירה כאמור לא תפגע בפרטיות מעבר לנדרש, כהוראתו המפורשת של סעיף 23א(ב) לפקודה המבטאת, הלכה למעשה, </w:t>
      </w:r>
      <w:r w:rsidRPr="00A41FC0">
        <w:rPr>
          <w:rFonts w:ascii="David" w:hAnsi="David"/>
          <w:b/>
          <w:bCs/>
          <w:rtl/>
          <w:lang w:eastAsia="he-IL"/>
        </w:rPr>
        <w:lastRenderedPageBreak/>
        <w:t>את מבחן המידתיות בפסקת ההגבלה שבחוק-יסוד: כבוד האדם וחירותו</w:t>
      </w:r>
      <w:r w:rsidRPr="00A41FC0">
        <w:rPr>
          <w:rFonts w:ascii="David" w:hAnsi="David"/>
          <w:rtl/>
          <w:lang w:eastAsia="he-IL"/>
        </w:rPr>
        <w:t xml:space="preserve">" (שם, ס' 48 וראו גם בס' 61 לפסק דינה). </w:t>
      </w:r>
    </w:p>
    <w:p w:rsidR="00A41FC0" w:rsidRPr="00A41FC0" w:rsidRDefault="00A41FC0" w:rsidP="00A41FC0">
      <w:pPr>
        <w:tabs>
          <w:tab w:val="left" w:pos="793"/>
        </w:tabs>
        <w:spacing w:line="360" w:lineRule="auto"/>
        <w:contextualSpacing/>
        <w:jc w:val="both"/>
        <w:rPr>
          <w:rFonts w:ascii="David" w:eastAsia="Calibri" w:hAnsi="David"/>
          <w:rtl/>
          <w:lang w:eastAsia="he-IL"/>
        </w:rPr>
      </w:pPr>
    </w:p>
    <w:p w:rsidR="00A41FC0" w:rsidRPr="00A41FC0" w:rsidRDefault="00A41FC0" w:rsidP="00A41FC0">
      <w:pPr>
        <w:numPr>
          <w:ilvl w:val="0"/>
          <w:numId w:val="1"/>
        </w:numPr>
        <w:tabs>
          <w:tab w:val="left" w:pos="793"/>
        </w:tabs>
        <w:spacing w:before="240" w:line="360" w:lineRule="auto"/>
        <w:contextualSpacing/>
        <w:jc w:val="both"/>
        <w:rPr>
          <w:rFonts w:ascii="David" w:hAnsi="David"/>
          <w:rtl/>
          <w:lang w:eastAsia="he-IL"/>
        </w:rPr>
      </w:pPr>
      <w:r w:rsidRPr="00A41FC0">
        <w:rPr>
          <w:rFonts w:ascii="David" w:hAnsi="David"/>
          <w:rtl/>
          <w:lang w:eastAsia="he-IL"/>
        </w:rPr>
        <w:t>בהמשך הדגישה כב' הנשיאה אסתר חיות כי על המותב הדן בבקשה לצו חיפוש להידרש מיוזמתו לשאלת הפגיעה בפרטיות, בנוסף לבחינת עצם ההצדקה למתן הצו (שם, סעיף 71 לפסק דינה) וכי</w:t>
      </w:r>
      <w:r w:rsidR="00FD6375">
        <w:rPr>
          <w:rFonts w:ascii="David" w:hAnsi="David"/>
          <w:rtl/>
          <w:lang w:eastAsia="he-IL"/>
        </w:rPr>
        <w:t xml:space="preserve"> </w:t>
      </w:r>
      <w:r w:rsidRPr="00A41FC0">
        <w:rPr>
          <w:rFonts w:ascii="David" w:hAnsi="David"/>
          <w:rtl/>
          <w:lang w:eastAsia="he-IL"/>
        </w:rPr>
        <w:t>"</w:t>
      </w:r>
      <w:r w:rsidRPr="00A41FC0">
        <w:rPr>
          <w:rFonts w:ascii="David" w:hAnsi="David"/>
          <w:b/>
          <w:bCs/>
          <w:rtl/>
          <w:lang w:eastAsia="he-IL"/>
        </w:rPr>
        <w:t>השופט הוא המופקד על שמירת החוק ועל הגנת הפרטיות. עליו לזכור שאזרחי המדינה צריכים להיות מוגנים מפני מסע דייג הנערך בידי הרשויות לאכיפת החוק</w:t>
      </w:r>
      <w:r w:rsidRPr="00A41FC0">
        <w:rPr>
          <w:rFonts w:ascii="David" w:hAnsi="David"/>
          <w:rtl/>
          <w:lang w:eastAsia="he-IL"/>
        </w:rPr>
        <w:t>" זאת ועוד, כב' הנשיאה התעמקה גם בשאלת הכשרת השוטר שיוסמך לבצע את החיפוש, בביצועו על דרך העתקת החומר ורק לאחר מכן "</w:t>
      </w:r>
      <w:r w:rsidRPr="00A41FC0">
        <w:rPr>
          <w:rFonts w:ascii="David" w:hAnsi="David"/>
          <w:b/>
          <w:bCs/>
          <w:rtl/>
          <w:lang w:eastAsia="he-IL"/>
        </w:rPr>
        <w:t>כל פעולות העיון במידע, ובכללן צפייה, סינון וניתוח, נעשות על גבי ההעתק</w:t>
      </w:r>
      <w:r w:rsidRPr="00A41FC0">
        <w:rPr>
          <w:rFonts w:ascii="David" w:hAnsi="David"/>
          <w:rtl/>
          <w:lang w:eastAsia="he-IL"/>
        </w:rPr>
        <w:t>", וכן תיעוד כל מהלך החיפוש באופן "</w:t>
      </w:r>
      <w:r w:rsidRPr="00A41FC0">
        <w:rPr>
          <w:rFonts w:ascii="David" w:hAnsi="David"/>
          <w:b/>
          <w:bCs/>
          <w:rtl/>
          <w:lang w:eastAsia="he-IL"/>
        </w:rPr>
        <w:t>שיאפשר לקיים בבוא היום ביקורת בדיעבד על תקינותו ועמידתו בתנאים שנקבעו בצו החיפוש ולהעלות טענות נגד הליך החיפוש, ככל שתהיינה</w:t>
      </w:r>
      <w:r w:rsidRPr="00A41FC0">
        <w:rPr>
          <w:rFonts w:ascii="David" w:hAnsi="David"/>
          <w:rtl/>
          <w:lang w:eastAsia="he-IL"/>
        </w:rPr>
        <w:t xml:space="preserve">" (שם, פס' 77-76 לפסק דינה). </w:t>
      </w:r>
    </w:p>
    <w:p w:rsidR="00A41FC0" w:rsidRPr="00A41FC0" w:rsidRDefault="00A41FC0" w:rsidP="00A41FC0">
      <w:pPr>
        <w:spacing w:before="240"/>
        <w:ind w:left="720"/>
        <w:contextualSpacing/>
        <w:jc w:val="both"/>
        <w:rPr>
          <w:rFonts w:ascii="David" w:hAnsi="David"/>
          <w:lang w:eastAsia="he-IL"/>
        </w:rPr>
      </w:pPr>
    </w:p>
    <w:p w:rsidR="00A41FC0" w:rsidRPr="00A41FC0" w:rsidRDefault="00A41FC0" w:rsidP="00A41FC0">
      <w:pPr>
        <w:numPr>
          <w:ilvl w:val="0"/>
          <w:numId w:val="1"/>
        </w:numPr>
        <w:tabs>
          <w:tab w:val="left" w:pos="793"/>
        </w:tabs>
        <w:spacing w:before="240" w:line="360" w:lineRule="auto"/>
        <w:contextualSpacing/>
        <w:jc w:val="both"/>
        <w:rPr>
          <w:rFonts w:ascii="David" w:hAnsi="David"/>
          <w:rtl/>
          <w:lang w:eastAsia="he-IL"/>
        </w:rPr>
      </w:pPr>
      <w:r w:rsidRPr="00A41FC0">
        <w:rPr>
          <w:rFonts w:ascii="David" w:hAnsi="David"/>
          <w:rtl/>
          <w:lang w:eastAsia="he-IL"/>
        </w:rPr>
        <w:t xml:space="preserve">כב' השופט אלרון בעניין </w:t>
      </w:r>
      <w:r w:rsidRPr="00A41FC0">
        <w:rPr>
          <w:rFonts w:ascii="David" w:hAnsi="David"/>
          <w:b/>
          <w:bCs/>
          <w:rtl/>
          <w:lang w:eastAsia="he-IL"/>
        </w:rPr>
        <w:t xml:space="preserve">אוריך 21 </w:t>
      </w:r>
      <w:r w:rsidRPr="00A41FC0">
        <w:rPr>
          <w:rFonts w:ascii="David" w:hAnsi="David"/>
          <w:rtl/>
          <w:lang w:eastAsia="he-IL"/>
        </w:rPr>
        <w:t>סקר בהרחבה את ההיסטוריה החקיקתית של חוק המחשבים, התשנ"ה – 1995, ושל סעיף 23א לפקודה</w:t>
      </w:r>
      <w:r w:rsidR="009249B7">
        <w:rPr>
          <w:rFonts w:ascii="David" w:hAnsi="David" w:hint="cs"/>
          <w:rtl/>
          <w:lang w:eastAsia="he-IL"/>
        </w:rPr>
        <w:t>,</w:t>
      </w:r>
      <w:r w:rsidRPr="00A41FC0">
        <w:rPr>
          <w:rFonts w:ascii="David" w:hAnsi="David"/>
          <w:rtl/>
          <w:lang w:eastAsia="he-IL"/>
        </w:rPr>
        <w:t xml:space="preserve"> שתיקונו האחרון בשנת 2005 נועד כבר אז לצמצם את הפגיעה הייחודית בפרטיות הכרוכה בחיפוש במחשב, בשונה מהחיפוש השגור בחצרים. כב' השופט אלרון מנה את שני התנאים המצטברים לחיפוש במחשב ובטלפון נייד שם, פס' 3 לפסק דינו): </w:t>
      </w:r>
    </w:p>
    <w:p w:rsidR="00A41FC0" w:rsidRDefault="00A41FC0" w:rsidP="00A41FC0">
      <w:pPr>
        <w:ind w:left="567" w:right="567"/>
        <w:jc w:val="both"/>
        <w:rPr>
          <w:rFonts w:ascii="David" w:eastAsia="David" w:hAnsi="David"/>
          <w:b/>
          <w:bCs/>
          <w:noProof w:val="0"/>
          <w:rtl/>
          <w:lang w:eastAsia="he-IL"/>
        </w:rPr>
      </w:pPr>
      <w:r w:rsidRPr="00A41FC0">
        <w:rPr>
          <w:rFonts w:ascii="David" w:eastAsia="David" w:hAnsi="David" w:hint="cs"/>
          <w:b/>
          <w:bCs/>
          <w:noProof w:val="0"/>
          <w:rtl/>
          <w:lang w:eastAsia="he-IL"/>
        </w:rPr>
        <w:t xml:space="preserve">"התנאי הראשון, הוא כי אחת מעילות החיפוש הקבועות בסעיף 23 לפקודת החיפוש, אשר צוטט לעיל, מתקיימת; </w:t>
      </w:r>
      <w:r w:rsidRPr="008020E5">
        <w:rPr>
          <w:rFonts w:ascii="David" w:eastAsia="David" w:hAnsi="David" w:hint="cs"/>
          <w:b/>
          <w:bCs/>
          <w:noProof w:val="0"/>
          <w:u w:val="single"/>
          <w:rtl/>
          <w:lang w:eastAsia="he-IL"/>
        </w:rPr>
        <w:t>והתנאי השני, הייחודי לצווי חיפוש במחשבים, הוא כי מטרות החיפוש ותנאיו ייקבעו בצו עצמו ויבטיחו כי הפגיעה בפרטיותו של אדם לא תהא "מעבר לנדרש" ...."</w:t>
      </w:r>
    </w:p>
    <w:p w:rsidR="008020E5" w:rsidRPr="008020E5" w:rsidRDefault="008020E5" w:rsidP="00A41FC0">
      <w:pPr>
        <w:ind w:left="567" w:right="567"/>
        <w:jc w:val="both"/>
        <w:rPr>
          <w:rFonts w:ascii="David" w:eastAsia="David" w:hAnsi="David"/>
          <w:noProof w:val="0"/>
          <w:rtl/>
          <w:lang w:eastAsia="he-IL"/>
        </w:rPr>
      </w:pPr>
      <w:r>
        <w:rPr>
          <w:rFonts w:ascii="David" w:eastAsia="David" w:hAnsi="David" w:hint="cs"/>
          <w:noProof w:val="0"/>
          <w:rtl/>
          <w:lang w:eastAsia="he-IL"/>
        </w:rPr>
        <w:t xml:space="preserve">(הדגשה שלי </w:t>
      </w:r>
      <w:r>
        <w:rPr>
          <w:rFonts w:ascii="David" w:eastAsia="David" w:hAnsi="David"/>
          <w:noProof w:val="0"/>
          <w:rtl/>
          <w:lang w:eastAsia="he-IL"/>
        </w:rPr>
        <w:t>–</w:t>
      </w:r>
      <w:r>
        <w:rPr>
          <w:rFonts w:ascii="David" w:eastAsia="David" w:hAnsi="David" w:hint="cs"/>
          <w:noProof w:val="0"/>
          <w:rtl/>
          <w:lang w:eastAsia="he-IL"/>
        </w:rPr>
        <w:t xml:space="preserve"> מ' א' ג').</w:t>
      </w:r>
    </w:p>
    <w:p w:rsidR="00A41FC0" w:rsidRPr="00A41FC0" w:rsidRDefault="00A41FC0" w:rsidP="00A41FC0">
      <w:pPr>
        <w:tabs>
          <w:tab w:val="left" w:pos="793"/>
        </w:tabs>
        <w:spacing w:line="360" w:lineRule="auto"/>
        <w:contextualSpacing/>
        <w:jc w:val="both"/>
        <w:rPr>
          <w:rFonts w:ascii="David" w:eastAsia="Calibri" w:hAnsi="David"/>
          <w:b/>
          <w:bCs/>
          <w:rtl/>
          <w:lang w:eastAsia="he-IL"/>
        </w:rPr>
      </w:pPr>
    </w:p>
    <w:p w:rsidR="00A41FC0" w:rsidRPr="00A41FC0" w:rsidRDefault="00A41FC0" w:rsidP="00A41FC0">
      <w:pPr>
        <w:numPr>
          <w:ilvl w:val="0"/>
          <w:numId w:val="1"/>
        </w:numPr>
        <w:tabs>
          <w:tab w:val="left" w:pos="793"/>
        </w:tabs>
        <w:spacing w:before="240" w:line="360" w:lineRule="auto"/>
        <w:contextualSpacing/>
        <w:jc w:val="both"/>
        <w:rPr>
          <w:rFonts w:ascii="David" w:hAnsi="David"/>
          <w:rtl/>
          <w:lang w:eastAsia="he-IL"/>
        </w:rPr>
      </w:pPr>
      <w:r w:rsidRPr="00A41FC0">
        <w:rPr>
          <w:rFonts w:ascii="David" w:hAnsi="David"/>
          <w:rtl/>
          <w:lang w:eastAsia="he-IL"/>
        </w:rPr>
        <w:t>כב' השופט אלרון עמד בהרחבה על הפגיעה החמורה בפרטיות נחקרים וצדדים שלישיים, וביקר בחריפות את הפרקטיקה הנוהגת של מתן צווים כלליים ללא תנאים, ותוך ציון מטרה כללית בלבד והנמקה בלתי מספקת, בשכיחות של מאות צווים ליום וללא הפעלת שיקול דעת שיפוטי של ממש, אשר "</w:t>
      </w:r>
      <w:r w:rsidRPr="00A41FC0">
        <w:rPr>
          <w:rFonts w:ascii="David" w:hAnsi="David"/>
          <w:b/>
          <w:bCs/>
          <w:rtl/>
          <w:lang w:eastAsia="he-IL"/>
        </w:rPr>
        <w:t>הפכה במידה רבה את הדרישה לכלול בצווי החיפוש במחשבים תנאים שיצמצמו את הפגיעה בפרטיות ל"אות מתה</w:t>
      </w:r>
      <w:r w:rsidRPr="00A41FC0">
        <w:rPr>
          <w:rFonts w:ascii="David" w:hAnsi="David"/>
          <w:rtl/>
          <w:lang w:eastAsia="he-IL"/>
        </w:rPr>
        <w:t>" (שם, סעיפים 5-6 לפסק דינו), והוסיף ביקורת:</w:t>
      </w:r>
    </w:p>
    <w:p w:rsidR="00A41FC0" w:rsidRPr="00A41FC0" w:rsidRDefault="00A41FC0" w:rsidP="00A41FC0">
      <w:pPr>
        <w:ind w:left="567" w:right="567"/>
        <w:jc w:val="both"/>
        <w:rPr>
          <w:rFonts w:ascii="David" w:eastAsia="David" w:hAnsi="David"/>
          <w:b/>
          <w:bCs/>
          <w:noProof w:val="0"/>
          <w:rtl/>
          <w:lang w:eastAsia="he-IL"/>
        </w:rPr>
      </w:pPr>
      <w:r w:rsidRPr="00A41FC0">
        <w:rPr>
          <w:rFonts w:ascii="David" w:eastAsia="David" w:hAnsi="David" w:hint="cs"/>
          <w:b/>
          <w:bCs/>
          <w:noProof w:val="0"/>
          <w:rtl/>
          <w:lang w:eastAsia="he-IL"/>
        </w:rPr>
        <w:t>"היעדרו של פירוט מספק באשר לתנאיהם של צווי חיפוש רבים הניתנים במחשבים – ובמכשירי טלפון ניידים בפרט – מלמד כי התיקון שקבע המחוקק בשנת 2005 לא הופנם על-ידי בתי המשפט, אשר לעיתים אינם מעניקים הגנה מספקת לזכותו של הנחקר לפרטיות, ואינם שוקלים כראוי את מכלול ההיבטים הנוגעים לעניין."</w:t>
      </w:r>
    </w:p>
    <w:p w:rsidR="00A41FC0" w:rsidRDefault="00A41FC0" w:rsidP="00A41FC0">
      <w:pPr>
        <w:tabs>
          <w:tab w:val="left" w:pos="793"/>
        </w:tabs>
        <w:spacing w:line="360" w:lineRule="auto"/>
        <w:contextualSpacing/>
        <w:jc w:val="both"/>
        <w:rPr>
          <w:rFonts w:ascii="David" w:eastAsia="Calibri" w:hAnsi="David"/>
          <w:rtl/>
          <w:lang w:eastAsia="he-IL"/>
        </w:rPr>
      </w:pPr>
    </w:p>
    <w:p w:rsidR="008020E5" w:rsidRDefault="008020E5" w:rsidP="00A41FC0">
      <w:pPr>
        <w:tabs>
          <w:tab w:val="left" w:pos="793"/>
        </w:tabs>
        <w:spacing w:line="360" w:lineRule="auto"/>
        <w:contextualSpacing/>
        <w:jc w:val="both"/>
        <w:rPr>
          <w:rFonts w:ascii="David" w:eastAsia="Calibri" w:hAnsi="David"/>
          <w:rtl/>
          <w:lang w:eastAsia="he-IL"/>
        </w:rPr>
      </w:pPr>
      <w:r>
        <w:rPr>
          <w:rFonts w:ascii="David" w:eastAsia="Calibri" w:hAnsi="David" w:hint="cs"/>
          <w:rtl/>
          <w:lang w:eastAsia="he-IL"/>
        </w:rPr>
        <w:t>היינו גם כשמדובר בחקירת משטרה יש לצמצם את החיפוש ולמנוע ככל האפשר פגיעה בפרטיות, וכך גם בעת מתן צווים שיפוטיים.</w:t>
      </w:r>
    </w:p>
    <w:p w:rsidR="008020E5" w:rsidRDefault="008020E5" w:rsidP="00A41FC0">
      <w:pPr>
        <w:tabs>
          <w:tab w:val="left" w:pos="793"/>
        </w:tabs>
        <w:spacing w:line="360" w:lineRule="auto"/>
        <w:contextualSpacing/>
        <w:jc w:val="both"/>
        <w:rPr>
          <w:rFonts w:ascii="David" w:eastAsia="Calibri" w:hAnsi="David"/>
          <w:rtl/>
          <w:lang w:eastAsia="he-IL"/>
        </w:rPr>
      </w:pPr>
    </w:p>
    <w:p w:rsidR="008020E5" w:rsidRDefault="008020E5" w:rsidP="00A41FC0">
      <w:pPr>
        <w:tabs>
          <w:tab w:val="left" w:pos="793"/>
        </w:tabs>
        <w:spacing w:line="360" w:lineRule="auto"/>
        <w:contextualSpacing/>
        <w:jc w:val="both"/>
        <w:rPr>
          <w:rFonts w:ascii="David" w:eastAsia="Calibri" w:hAnsi="David"/>
          <w:rtl/>
          <w:lang w:eastAsia="he-IL"/>
        </w:rPr>
      </w:pPr>
    </w:p>
    <w:p w:rsidR="008020E5" w:rsidRDefault="008020E5" w:rsidP="00A41FC0">
      <w:pPr>
        <w:tabs>
          <w:tab w:val="left" w:pos="793"/>
        </w:tabs>
        <w:spacing w:line="360" w:lineRule="auto"/>
        <w:contextualSpacing/>
        <w:jc w:val="both"/>
        <w:rPr>
          <w:rFonts w:ascii="David" w:eastAsia="Calibri" w:hAnsi="David"/>
          <w:rtl/>
          <w:lang w:eastAsia="he-IL"/>
        </w:rPr>
      </w:pPr>
    </w:p>
    <w:p w:rsidR="008020E5" w:rsidRPr="008020E5" w:rsidRDefault="008020E5" w:rsidP="00627CBA">
      <w:pPr>
        <w:tabs>
          <w:tab w:val="left" w:pos="793"/>
        </w:tabs>
        <w:spacing w:line="360" w:lineRule="auto"/>
        <w:contextualSpacing/>
        <w:jc w:val="both"/>
        <w:rPr>
          <w:rFonts w:ascii="David" w:eastAsia="Calibri" w:hAnsi="David"/>
          <w:u w:val="single"/>
          <w:rtl/>
          <w:lang w:eastAsia="he-IL"/>
        </w:rPr>
      </w:pPr>
      <w:r w:rsidRPr="008020E5">
        <w:rPr>
          <w:rFonts w:ascii="David" w:eastAsia="Calibri" w:hAnsi="David" w:hint="cs"/>
          <w:u w:val="single"/>
          <w:rtl/>
          <w:lang w:eastAsia="he-IL"/>
        </w:rPr>
        <w:lastRenderedPageBreak/>
        <w:t>איכון מיקום באמצעות טלפונים ניידים במהלך מגיפת הקורונה</w:t>
      </w:r>
    </w:p>
    <w:p w:rsidR="008020E5" w:rsidRDefault="00A41FC0" w:rsidP="00627CBA">
      <w:pPr>
        <w:numPr>
          <w:ilvl w:val="0"/>
          <w:numId w:val="1"/>
        </w:numPr>
        <w:tabs>
          <w:tab w:val="left" w:pos="793"/>
        </w:tabs>
        <w:spacing w:line="360" w:lineRule="auto"/>
        <w:contextualSpacing/>
        <w:jc w:val="both"/>
        <w:rPr>
          <w:rFonts w:ascii="David" w:hAnsi="David"/>
          <w:lang w:eastAsia="he-IL"/>
        </w:rPr>
      </w:pPr>
      <w:r w:rsidRPr="00A41FC0">
        <w:rPr>
          <w:rFonts w:ascii="David" w:hAnsi="David"/>
          <w:rtl/>
          <w:lang w:eastAsia="he-IL"/>
        </w:rPr>
        <w:t xml:space="preserve">גם בהקשר </w:t>
      </w:r>
      <w:r w:rsidR="00F078D0">
        <w:rPr>
          <w:rFonts w:ascii="David" w:hAnsi="David" w:hint="cs"/>
          <w:rtl/>
          <w:lang w:eastAsia="he-IL"/>
        </w:rPr>
        <w:t>המשפט הציבורי</w:t>
      </w:r>
      <w:r w:rsidRPr="00A41FC0">
        <w:rPr>
          <w:rFonts w:ascii="David" w:hAnsi="David"/>
          <w:rtl/>
          <w:lang w:eastAsia="he-IL"/>
        </w:rPr>
        <w:t xml:space="preserve"> עמד בית המשפט העליון על הסכנות שבפגיעה בפרטיות. היה זה בהקשר של איכון טלפונים ע"י השב"כ במהלך מגיפת הקורונה. בעניין </w:t>
      </w:r>
      <w:r w:rsidRPr="00A41FC0">
        <w:rPr>
          <w:rFonts w:ascii="David" w:hAnsi="David"/>
          <w:b/>
          <w:bCs/>
          <w:rtl/>
          <w:lang w:eastAsia="he-IL"/>
        </w:rPr>
        <w:t>האגודה לזכויות האזרח</w:t>
      </w:r>
      <w:r w:rsidRPr="00A41FC0">
        <w:rPr>
          <w:rFonts w:ascii="David" w:hAnsi="David"/>
          <w:rtl/>
          <w:lang w:eastAsia="he-IL"/>
        </w:rPr>
        <w:t xml:space="preserve"> נדונה בהרכב מורחב ההסמכה שהוסמך שירות הביטחון הכללי (השב"כ) לסייע בביצוע חקירות אפידמיולוגיות, תוך שימוש באמצעים הטכנולוגיים שברשותו וזאת מכוח חוק הסמכת שירות </w:t>
      </w:r>
      <w:r w:rsidRPr="00F078D0">
        <w:rPr>
          <w:rFonts w:ascii="David" w:hAnsi="David"/>
          <w:rtl/>
          <w:lang w:eastAsia="he-IL"/>
        </w:rPr>
        <w:t>הביטחון הכללי לסייע במאמץ הלאומי לצמצום התפשטות נגיף הקורונה החדש וקידום השימוש בטכנולוגיה אזרחית לאיתור מי שהיו במגע קרוב ע</w:t>
      </w:r>
      <w:r w:rsidR="0012532B">
        <w:rPr>
          <w:rFonts w:ascii="David" w:hAnsi="David"/>
          <w:rtl/>
          <w:lang w:eastAsia="he-IL"/>
        </w:rPr>
        <w:t>ם חולים (הוראת שעה), התש"ף-2020</w:t>
      </w:r>
      <w:r w:rsidR="0012532B">
        <w:rPr>
          <w:rFonts w:ascii="David" w:hAnsi="David" w:hint="cs"/>
          <w:rtl/>
          <w:lang w:eastAsia="he-IL"/>
        </w:rPr>
        <w:t xml:space="preserve"> ,0לניתוח פסק הדין ראו: </w:t>
      </w:r>
      <w:r w:rsidR="0012532B" w:rsidRPr="0012532B">
        <w:rPr>
          <w:rFonts w:ascii="David" w:hAnsi="David"/>
          <w:rtl/>
          <w:lang w:eastAsia="he-IL"/>
        </w:rPr>
        <w:t xml:space="preserve">שירה שמר בלומנפלד, "הזכות לפרטיות בפרדיגמה של ערך החירות: מבט ביקורתי על פרשת איכוני השב"כ מהזווית האמריקנית" </w:t>
      </w:r>
      <w:r w:rsidR="0012532B" w:rsidRPr="0012532B">
        <w:rPr>
          <w:rFonts w:ascii="David" w:hAnsi="David"/>
          <w:b/>
          <w:bCs/>
          <w:rtl/>
          <w:lang w:eastAsia="he-IL"/>
        </w:rPr>
        <w:t>רשות הרבים – בלוג הפורום הישראלי למשפט וחירות</w:t>
      </w:r>
      <w:r w:rsidR="0012532B" w:rsidRPr="0012532B">
        <w:rPr>
          <w:rFonts w:ascii="David" w:hAnsi="David"/>
          <w:rtl/>
          <w:lang w:eastAsia="he-IL"/>
        </w:rPr>
        <w:t xml:space="preserve"> (</w:t>
      </w:r>
      <w:r w:rsidR="0012532B">
        <w:rPr>
          <w:rFonts w:ascii="David" w:hAnsi="David" w:hint="cs"/>
          <w:rtl/>
          <w:lang w:eastAsia="he-IL"/>
        </w:rPr>
        <w:t>נבו, 31.8.22</w:t>
      </w:r>
      <w:r w:rsidR="0012532B" w:rsidRPr="0012532B">
        <w:rPr>
          <w:rFonts w:ascii="David" w:hAnsi="David"/>
          <w:rtl/>
          <w:lang w:eastAsia="he-IL"/>
        </w:rPr>
        <w:t>)</w:t>
      </w:r>
      <w:r w:rsidR="0012532B">
        <w:rPr>
          <w:rFonts w:ascii="David" w:hAnsi="David" w:hint="cs"/>
          <w:rtl/>
          <w:lang w:eastAsia="he-IL"/>
        </w:rPr>
        <w:t>.</w:t>
      </w:r>
      <w:r w:rsidR="0012532B" w:rsidRPr="0012532B">
        <w:rPr>
          <w:rFonts w:ascii="David" w:hAnsi="David"/>
          <w:rtl/>
          <w:lang w:eastAsia="he-IL"/>
        </w:rPr>
        <w:t xml:space="preserve"> </w:t>
      </w:r>
    </w:p>
    <w:p w:rsidR="008020E5" w:rsidRDefault="00A41FC0" w:rsidP="008020E5">
      <w:pPr>
        <w:tabs>
          <w:tab w:val="left" w:pos="793"/>
        </w:tabs>
        <w:spacing w:before="240" w:line="360" w:lineRule="auto"/>
        <w:contextualSpacing/>
        <w:jc w:val="both"/>
        <w:rPr>
          <w:rFonts w:ascii="David" w:hAnsi="David"/>
          <w:lang w:eastAsia="he-IL"/>
        </w:rPr>
      </w:pPr>
      <w:r w:rsidRPr="00F078D0">
        <w:rPr>
          <w:rFonts w:ascii="David" w:hAnsi="David"/>
          <w:rtl/>
          <w:lang w:eastAsia="he-IL"/>
        </w:rPr>
        <w:t xml:space="preserve"> </w:t>
      </w:r>
    </w:p>
    <w:p w:rsidR="00A41FC0" w:rsidRPr="00A41FC0" w:rsidRDefault="00A41FC0" w:rsidP="008020E5">
      <w:pPr>
        <w:numPr>
          <w:ilvl w:val="0"/>
          <w:numId w:val="1"/>
        </w:numPr>
        <w:tabs>
          <w:tab w:val="left" w:pos="793"/>
        </w:tabs>
        <w:spacing w:before="240" w:line="360" w:lineRule="auto"/>
        <w:contextualSpacing/>
        <w:jc w:val="both"/>
        <w:rPr>
          <w:rFonts w:ascii="David" w:hAnsi="David"/>
          <w:rtl/>
          <w:lang w:eastAsia="he-IL"/>
        </w:rPr>
      </w:pPr>
      <w:r w:rsidRPr="00F078D0">
        <w:rPr>
          <w:rFonts w:ascii="David" w:hAnsi="David"/>
          <w:rtl/>
          <w:lang w:eastAsia="he-IL"/>
        </w:rPr>
        <w:t xml:space="preserve">השב"כ הוסמך, בין היתר לאתר מי שהיו ליד חולי קורונה, לרבות באמצעות איכון </w:t>
      </w:r>
      <w:r w:rsidR="0089566C" w:rsidRPr="00F078D0">
        <w:rPr>
          <w:rFonts w:ascii="David" w:hAnsi="David" w:hint="cs"/>
          <w:rtl/>
          <w:lang w:eastAsia="he-IL"/>
        </w:rPr>
        <w:t>טלפונים</w:t>
      </w:r>
      <w:r w:rsidRPr="00F078D0">
        <w:rPr>
          <w:rFonts w:ascii="David" w:hAnsi="David"/>
          <w:rtl/>
          <w:lang w:eastAsia="he-IL"/>
        </w:rPr>
        <w:t xml:space="preserve"> ניידים</w:t>
      </w:r>
      <w:r w:rsidR="0089566C" w:rsidRPr="00F078D0">
        <w:rPr>
          <w:rFonts w:ascii="David" w:hAnsi="David" w:hint="cs"/>
          <w:rtl/>
          <w:lang w:eastAsia="he-IL"/>
        </w:rPr>
        <w:t>,</w:t>
      </w:r>
      <w:r w:rsidRPr="00F078D0">
        <w:rPr>
          <w:rFonts w:ascii="David" w:hAnsi="David"/>
          <w:rtl/>
          <w:lang w:eastAsia="he-IL"/>
        </w:rPr>
        <w:t xml:space="preserve"> ללא הסכמת וללא ידיעת בעליהם (להלן: </w:t>
      </w:r>
      <w:r w:rsidRPr="00F078D0">
        <w:rPr>
          <w:rFonts w:ascii="David" w:hAnsi="David"/>
          <w:b/>
          <w:bCs/>
          <w:rtl/>
          <w:lang w:eastAsia="he-IL"/>
        </w:rPr>
        <w:t>הוראת השעה</w:t>
      </w:r>
      <w:r w:rsidRPr="00F078D0">
        <w:rPr>
          <w:rFonts w:ascii="David" w:hAnsi="David"/>
          <w:rtl/>
          <w:lang w:eastAsia="he-IL"/>
        </w:rPr>
        <w:t>). פסק דינה של כב' הנשיאה השופטת אסתר חיות, שהוביל את דעת הרוב, קבע כי הוראת השעה</w:t>
      </w:r>
      <w:r w:rsidRPr="00A41FC0">
        <w:rPr>
          <w:rFonts w:ascii="David" w:hAnsi="David"/>
          <w:rtl/>
          <w:lang w:eastAsia="he-IL"/>
        </w:rPr>
        <w:t xml:space="preserve"> היא הסדר חריג הפוגע פגיעה ממשית בזכות החוקתית לפרטיות, אך בהינתן הנסיבות החריגות של התקופה, והמנגנונים שנקבעו במטרה למתן את הפגיעה בפרטיות, לרבות התקופה המוגבלת שנקבעה לכתחילה לתוקפה, נקבע כי אין מקום להתערבות שיפוטית לאותה עת, על אף כי "</w:t>
      </w:r>
      <w:r w:rsidRPr="00A41FC0">
        <w:rPr>
          <w:rFonts w:ascii="David" w:hAnsi="David"/>
          <w:b/>
          <w:bCs/>
          <w:rtl/>
          <w:lang w:eastAsia="he-IL"/>
        </w:rPr>
        <w:t xml:space="preserve">התמונה המצטיירת מאופן יישומו של חוק הסמכת השב"כ עד כה מעלה תהיות כבדות משקל באשר לסבירותן ומידתיותן של הכרזות </w:t>
      </w:r>
      <w:r w:rsidRPr="008020E5">
        <w:rPr>
          <w:rFonts w:ascii="David" w:hAnsi="David"/>
          <w:b/>
          <w:bCs/>
          <w:rtl/>
          <w:lang w:eastAsia="he-IL"/>
        </w:rPr>
        <w:t>הממשלה</w:t>
      </w:r>
      <w:r w:rsidRPr="00A41FC0">
        <w:rPr>
          <w:rFonts w:ascii="David" w:hAnsi="David"/>
          <w:rtl/>
          <w:lang w:eastAsia="he-IL"/>
        </w:rPr>
        <w:t xml:space="preserve">" (שם, פס' 44). </w:t>
      </w:r>
    </w:p>
    <w:p w:rsidR="00A41FC0" w:rsidRPr="00A41FC0" w:rsidRDefault="00A41FC0" w:rsidP="00A41FC0">
      <w:pPr>
        <w:tabs>
          <w:tab w:val="left" w:pos="793"/>
        </w:tabs>
        <w:spacing w:line="360" w:lineRule="auto"/>
        <w:contextualSpacing/>
        <w:jc w:val="both"/>
        <w:rPr>
          <w:rFonts w:ascii="David" w:hAnsi="David"/>
          <w:lang w:eastAsia="he-IL"/>
        </w:rPr>
      </w:pPr>
    </w:p>
    <w:p w:rsidR="008020E5" w:rsidRDefault="00A41FC0" w:rsidP="00A41FC0">
      <w:pPr>
        <w:numPr>
          <w:ilvl w:val="0"/>
          <w:numId w:val="1"/>
        </w:numPr>
        <w:tabs>
          <w:tab w:val="left" w:pos="793"/>
        </w:tabs>
        <w:spacing w:before="240" w:line="360" w:lineRule="auto"/>
        <w:contextualSpacing/>
        <w:jc w:val="both"/>
        <w:rPr>
          <w:rFonts w:ascii="David" w:hAnsi="David"/>
          <w:lang w:eastAsia="he-IL"/>
        </w:rPr>
      </w:pPr>
      <w:r w:rsidRPr="00A41FC0">
        <w:rPr>
          <w:rFonts w:ascii="David" w:hAnsi="David"/>
          <w:rtl/>
          <w:lang w:eastAsia="he-IL"/>
        </w:rPr>
        <w:t>כל שופטי ההרכב התייחסו להיבטים שונים של הזכות לפרטיות ולנסיבות הפגיעה בה באמצעים טכנולוגיים על ידי המדינה. כב' השופט חנן מלצר הצטרף לפסק דינה של כב' הנשיאה חיות, והוסיף</w:t>
      </w:r>
      <w:r w:rsidR="000458E5">
        <w:rPr>
          <w:rFonts w:ascii="David" w:hAnsi="David" w:hint="cs"/>
          <w:rtl/>
          <w:lang w:eastAsia="he-IL"/>
        </w:rPr>
        <w:t xml:space="preserve"> (שם בפס' 504 ו-510), </w:t>
      </w:r>
      <w:r w:rsidRPr="00A41FC0">
        <w:rPr>
          <w:rFonts w:ascii="David" w:hAnsi="David"/>
          <w:rtl/>
          <w:lang w:eastAsia="he-IL"/>
        </w:rPr>
        <w:t xml:space="preserve"> כי בשל הנסיבות החריגות</w:t>
      </w:r>
      <w:r w:rsidR="008020E5">
        <w:rPr>
          <w:rFonts w:ascii="David" w:hAnsi="David" w:hint="cs"/>
          <w:rtl/>
          <w:lang w:eastAsia="he-IL"/>
        </w:rPr>
        <w:t>:</w:t>
      </w:r>
    </w:p>
    <w:p w:rsidR="00A41FC0" w:rsidRPr="00A41FC0" w:rsidRDefault="00A41FC0" w:rsidP="000458E5">
      <w:pPr>
        <w:tabs>
          <w:tab w:val="left" w:pos="793"/>
        </w:tabs>
        <w:ind w:left="567" w:right="567"/>
        <w:contextualSpacing/>
        <w:jc w:val="both"/>
        <w:rPr>
          <w:rFonts w:ascii="David" w:hAnsi="David"/>
          <w:rtl/>
          <w:lang w:eastAsia="he-IL"/>
        </w:rPr>
      </w:pPr>
      <w:r w:rsidRPr="00A41FC0">
        <w:rPr>
          <w:rFonts w:ascii="David" w:hAnsi="David"/>
          <w:rtl/>
          <w:lang w:eastAsia="he-IL"/>
        </w:rPr>
        <w:t xml:space="preserve"> "</w:t>
      </w:r>
      <w:r w:rsidRPr="00A41FC0">
        <w:rPr>
          <w:rFonts w:ascii="David" w:hAnsi="David"/>
          <w:b/>
          <w:bCs/>
          <w:rtl/>
          <w:lang w:eastAsia="he-IL"/>
        </w:rPr>
        <w:t>דומה כי עתה – בארץ ובעולם – כולי עלמא לא פליגי שהמחוקק רשאי לפעול בהקשר למגפת הקורונה על פי עקרון הזהירות המונעת [...] כדי להתמודד עם הקושי שנוצר בפער בין הידע הקיים בזמן נתון לבין הנזק הפוטנציאלי האדיר והלא ודאי שעלול להיגרם". למרות זאת, יש להפעיל גם את עקרון הזהירות המונעת עצמו בזהירות מונעת כשהוא מיושם על ידי הרשות המבצעת, ובהקשר זה נדרש ליישם את מבחני המידתיות לפי פסקת ההגבלה בחוק יסוד: כבוד האדם וחירותו, ו"להישמר מהדרדרות – ב"מדרון חלקלק" של שימוש מופרז באמצעים שיאושרו, או במשכם</w:t>
      </w:r>
      <w:r w:rsidRPr="00A41FC0">
        <w:rPr>
          <w:rFonts w:ascii="David" w:hAnsi="David"/>
          <w:rtl/>
          <w:lang w:eastAsia="he-IL"/>
        </w:rPr>
        <w:t>", במטרה "</w:t>
      </w:r>
      <w:r w:rsidRPr="00A41FC0">
        <w:rPr>
          <w:rFonts w:ascii="David" w:hAnsi="David"/>
          <w:b/>
          <w:bCs/>
          <w:rtl/>
          <w:lang w:eastAsia="he-IL"/>
        </w:rPr>
        <w:t>להיגמל מאמצעי זה, שכן הוא ממכר ואף מעודד יצירת פרקטיקות פוגעניות נוספות" והוסיף "הדבר מתבקש מהיותנו מדינה יהודית ודמוקרטית</w:t>
      </w:r>
      <w:r w:rsidRPr="00A41FC0">
        <w:rPr>
          <w:rFonts w:ascii="David" w:hAnsi="David"/>
          <w:rtl/>
          <w:lang w:eastAsia="he-IL"/>
        </w:rPr>
        <w:t xml:space="preserve">" </w:t>
      </w:r>
    </w:p>
    <w:p w:rsidR="00A41FC0" w:rsidRPr="00A41FC0" w:rsidRDefault="00A41FC0" w:rsidP="00A41FC0">
      <w:pPr>
        <w:tabs>
          <w:tab w:val="left" w:pos="793"/>
        </w:tabs>
        <w:spacing w:line="360" w:lineRule="auto"/>
        <w:contextualSpacing/>
        <w:jc w:val="both"/>
        <w:rPr>
          <w:rFonts w:ascii="David" w:hAnsi="David"/>
          <w:rtl/>
          <w:lang w:eastAsia="he-IL"/>
        </w:rPr>
      </w:pPr>
    </w:p>
    <w:p w:rsidR="00A41FC0" w:rsidRPr="00A41FC0" w:rsidRDefault="00A41FC0" w:rsidP="00A41FC0">
      <w:pPr>
        <w:numPr>
          <w:ilvl w:val="0"/>
          <w:numId w:val="1"/>
        </w:numPr>
        <w:tabs>
          <w:tab w:val="left" w:pos="793"/>
        </w:tabs>
        <w:spacing w:before="240" w:line="360" w:lineRule="auto"/>
        <w:contextualSpacing/>
        <w:jc w:val="both"/>
        <w:rPr>
          <w:rFonts w:ascii="David" w:hAnsi="David"/>
          <w:rtl/>
          <w:lang w:eastAsia="he-IL"/>
        </w:rPr>
      </w:pPr>
      <w:r w:rsidRPr="00A41FC0">
        <w:rPr>
          <w:rFonts w:ascii="David" w:hAnsi="David"/>
          <w:rtl/>
          <w:lang w:eastAsia="he-IL"/>
        </w:rPr>
        <w:t>כב' השופטת דפנה ברק ארז, שהצטרפה אף היא לדעת הרוב, התייחסה לפתרון היוצא דופן שיישמה מדינת ישראל ביחס למדינות אחרות בעת המשבר העולמי והוסיפה: "</w:t>
      </w:r>
      <w:r w:rsidRPr="00A41FC0">
        <w:rPr>
          <w:rFonts w:ascii="David" w:hAnsi="David"/>
          <w:b/>
          <w:bCs/>
          <w:rtl/>
          <w:lang w:eastAsia="he-IL"/>
        </w:rPr>
        <w:t>ברי כי מצבי חירום מן הסוג שאנו חווים מחייבים שימוש באמצעים שאינם שגרתיים ורגילים. יחד עם זאת, אין לומר כי במקרה חירום "הכל מותר". גם בעיתות משבר מחויבת המדינה בשמירה והגנה על זכויות יסוד, בהתאם לכללי המשפט החוקתי והמינהלי</w:t>
      </w:r>
      <w:r w:rsidRPr="00A41FC0">
        <w:rPr>
          <w:rFonts w:ascii="David" w:hAnsi="David"/>
          <w:rtl/>
          <w:lang w:eastAsia="he-IL"/>
        </w:rPr>
        <w:t xml:space="preserve">" (שם, פס' 54 לפסק דינה), ובהמשך </w:t>
      </w:r>
      <w:r w:rsidRPr="00A41FC0">
        <w:rPr>
          <w:rFonts w:ascii="David" w:hAnsi="David"/>
          <w:rtl/>
          <w:lang w:eastAsia="he-IL"/>
        </w:rPr>
        <w:lastRenderedPageBreak/>
        <w:t xml:space="preserve">בפסקה 25 עמדה על חשיבות האיזון בין האינטרסים השונים, אף במצב הקיצוני החריג באותן נסיבות: </w:t>
      </w:r>
    </w:p>
    <w:p w:rsidR="00A41FC0" w:rsidRPr="00A41FC0" w:rsidRDefault="00A41FC0" w:rsidP="00A41FC0">
      <w:pPr>
        <w:ind w:left="567" w:right="567"/>
        <w:jc w:val="both"/>
        <w:rPr>
          <w:rFonts w:ascii="David" w:eastAsia="David" w:hAnsi="David"/>
          <w:b/>
          <w:bCs/>
          <w:noProof w:val="0"/>
          <w:rtl/>
          <w:lang w:eastAsia="he-IL"/>
        </w:rPr>
      </w:pPr>
      <w:r w:rsidRPr="00A41FC0">
        <w:rPr>
          <w:rFonts w:ascii="FrankRuehl" w:eastAsia="David" w:hAnsi="David" w:hint="cs"/>
          <w:b/>
          <w:bCs/>
          <w:noProof w:val="0"/>
          <w:rtl/>
        </w:rPr>
        <w:t xml:space="preserve">"מול הזכות לפרטיות והזכות לכבוד האדם עומד האינטרס הציבורי החשוב של שמירה על בריאות הציבור וחייו. אכן, </w:t>
      </w:r>
      <w:r w:rsidRPr="00A41FC0">
        <w:rPr>
          <w:rFonts w:ascii="FrankRuehl" w:eastAsia="David" w:hAnsi="David" w:hint="cs"/>
          <w:b/>
          <w:bCs/>
          <w:noProof w:val="0"/>
          <w:u w:val="single"/>
          <w:rtl/>
        </w:rPr>
        <w:t xml:space="preserve">לא ניתן לומר שבתקופה של מגפה קטלנית כמו זו שבה אנו מצויים ניתן לדבר על </w:t>
      </w:r>
      <w:r w:rsidRPr="00A41FC0">
        <w:rPr>
          <w:rFonts w:ascii="FrankRuehl" w:eastAsia="David" w:hAnsi="David"/>
          <w:b/>
          <w:bCs/>
          <w:noProof w:val="0"/>
          <w:u w:val="single"/>
        </w:rPr>
        <w:t>business as usual</w:t>
      </w:r>
      <w:r w:rsidRPr="00A41FC0">
        <w:rPr>
          <w:rFonts w:ascii="FrankRuehl" w:eastAsia="David" w:hAnsi="David" w:hint="cs"/>
          <w:b/>
          <w:bCs/>
          <w:noProof w:val="0"/>
          <w:u w:val="single"/>
          <w:rtl/>
        </w:rPr>
        <w:t>, בבחינת "מה שהיה הוא שיהיה".</w:t>
      </w:r>
      <w:r w:rsidRPr="00A41FC0">
        <w:rPr>
          <w:rFonts w:ascii="FrankRuehl" w:eastAsia="David" w:hAnsi="David" w:hint="cs"/>
          <w:b/>
          <w:bCs/>
          <w:noProof w:val="0"/>
          <w:rtl/>
        </w:rPr>
        <w:t xml:space="preserve"> ההגנה על הזכות לפרטיות אינה יכולה להיות בתקופה זו דומה להגנה עליה בזמנים רגילים, וההכרה באפשרות לקיים חקירה אפידמיולוגית במצוות החוק היא עדות מובהקת לדבר. </w:t>
      </w:r>
      <w:r w:rsidRPr="00A41FC0">
        <w:rPr>
          <w:rFonts w:ascii="FrankRuehl" w:eastAsia="David" w:hAnsi="David" w:hint="cs"/>
          <w:b/>
          <w:bCs/>
          <w:noProof w:val="0"/>
          <w:u w:val="single"/>
          <w:rtl/>
        </w:rPr>
        <w:t>אולם, גם ברעום התותחים, ובענייננו גם כאשר הנגיפים מכים, אין משמעות הדברים ששאר הזכויות נמחקות. האיזון משתנה, אך לא מתאיין.</w:t>
      </w:r>
      <w:r w:rsidRPr="00A41FC0">
        <w:rPr>
          <w:rFonts w:ascii="FrankRuehl" w:eastAsia="David" w:hAnsi="David" w:hint="cs"/>
          <w:b/>
          <w:bCs/>
          <w:noProof w:val="0"/>
          <w:rtl/>
        </w:rPr>
        <w:t xml:space="preserve"> ברוח ספרו של ז'וזה סאראמאגו "על העיוורון" שעסק בתקופה של מגיפה, אסור שהמאבק בקורונה המתנהל בשמה של הזכות לחיים יעוור את עינינו מלראות את הזכויות האחרות." </w:t>
      </w:r>
    </w:p>
    <w:p w:rsidR="00A41FC0" w:rsidRPr="00A41FC0" w:rsidRDefault="00A41FC0" w:rsidP="00A41FC0">
      <w:pPr>
        <w:ind w:left="567" w:right="567"/>
        <w:jc w:val="both"/>
        <w:rPr>
          <w:rFonts w:ascii="David" w:eastAsia="David" w:hAnsi="David"/>
          <w:noProof w:val="0"/>
          <w:rtl/>
          <w:lang w:eastAsia="he-IL"/>
        </w:rPr>
      </w:pPr>
      <w:r w:rsidRPr="00A41FC0">
        <w:rPr>
          <w:rFonts w:ascii="David" w:eastAsia="David" w:hAnsi="David" w:hint="cs"/>
          <w:noProof w:val="0"/>
          <w:rtl/>
          <w:lang w:eastAsia="he-IL"/>
        </w:rPr>
        <w:t>(ההדגשות שלי מ' א' ג').</w:t>
      </w:r>
    </w:p>
    <w:p w:rsidR="00A41FC0" w:rsidRPr="00A41FC0" w:rsidRDefault="00A41FC0" w:rsidP="00A41FC0">
      <w:pPr>
        <w:tabs>
          <w:tab w:val="left" w:pos="793"/>
        </w:tabs>
        <w:spacing w:line="360" w:lineRule="auto"/>
        <w:contextualSpacing/>
        <w:jc w:val="both"/>
        <w:rPr>
          <w:rFonts w:ascii="David" w:eastAsia="Calibri" w:hAnsi="David"/>
          <w:rtl/>
          <w:lang w:eastAsia="he-IL"/>
        </w:rPr>
      </w:pPr>
      <w:bookmarkStart w:id="3" w:name="_Toc139378134"/>
    </w:p>
    <w:p w:rsidR="00A41FC0" w:rsidRDefault="00A41FC0" w:rsidP="00A41FC0">
      <w:pPr>
        <w:tabs>
          <w:tab w:val="left" w:pos="793"/>
        </w:tabs>
        <w:spacing w:line="360" w:lineRule="auto"/>
        <w:contextualSpacing/>
        <w:jc w:val="both"/>
        <w:rPr>
          <w:rFonts w:ascii="David" w:eastAsia="Calibri" w:hAnsi="David"/>
          <w:rtl/>
          <w:lang w:eastAsia="he-IL"/>
        </w:rPr>
      </w:pPr>
      <w:r w:rsidRPr="00A41FC0">
        <w:rPr>
          <w:rFonts w:ascii="David" w:eastAsia="Calibri" w:hAnsi="David"/>
          <w:rtl/>
          <w:lang w:eastAsia="he-IL"/>
        </w:rPr>
        <w:t>לסיכום, בית המשפט העליון הדגיש גם במקום בו חיפוש נעשה על פי הרשאה בהסמכה בחוק, גם לעניין שיקול הדעת במתן ההרשאה, וגם במהלך משבר בריאותי חריף, כי יש לשמור על הזכות לפרטיות ולפרש את ההסמכה בצמצום</w:t>
      </w:r>
      <w:r w:rsidR="0080577B">
        <w:rPr>
          <w:rFonts w:ascii="David" w:eastAsia="Calibri" w:hAnsi="David" w:hint="cs"/>
          <w:rtl/>
          <w:lang w:eastAsia="he-IL"/>
        </w:rPr>
        <w:t>.</w:t>
      </w:r>
    </w:p>
    <w:p w:rsidR="001B7C4B" w:rsidRDefault="001B7C4B" w:rsidP="00A41FC0">
      <w:pPr>
        <w:tabs>
          <w:tab w:val="left" w:pos="793"/>
        </w:tabs>
        <w:spacing w:line="360" w:lineRule="auto"/>
        <w:contextualSpacing/>
        <w:jc w:val="both"/>
        <w:rPr>
          <w:rFonts w:ascii="David" w:eastAsia="Calibri" w:hAnsi="David"/>
          <w:rtl/>
          <w:lang w:eastAsia="he-IL"/>
        </w:rPr>
      </w:pPr>
    </w:p>
    <w:p w:rsidR="001B7C4B" w:rsidRDefault="001B7C4B" w:rsidP="00A41FC0">
      <w:pPr>
        <w:tabs>
          <w:tab w:val="left" w:pos="793"/>
        </w:tabs>
        <w:spacing w:line="360" w:lineRule="auto"/>
        <w:contextualSpacing/>
        <w:jc w:val="both"/>
        <w:rPr>
          <w:rFonts w:ascii="David" w:eastAsia="Calibri" w:hAnsi="David"/>
          <w:rtl/>
          <w:lang w:eastAsia="he-IL"/>
        </w:rPr>
      </w:pPr>
      <w:r>
        <w:rPr>
          <w:rFonts w:ascii="David" w:eastAsia="Calibri" w:hAnsi="David" w:hint="cs"/>
          <w:rtl/>
          <w:lang w:eastAsia="he-IL"/>
        </w:rPr>
        <w:t>עד כה לא נדון מקרה בו נעשה חיפוש בטלפון סלולרי ללא הסמכה כלשהי בחוק. כעת אפנה לבחון את חוק הכניסה לישראל והנהלים מכוחו, שהם אלו המקנים סמכויות לאנשי הרשות בכלל ובקרי הגבול בפרט.</w:t>
      </w:r>
    </w:p>
    <w:p w:rsidR="0097107B" w:rsidRDefault="0097107B" w:rsidP="00A41FC0">
      <w:pPr>
        <w:tabs>
          <w:tab w:val="left" w:pos="793"/>
        </w:tabs>
        <w:spacing w:line="360" w:lineRule="auto"/>
        <w:contextualSpacing/>
        <w:jc w:val="both"/>
        <w:rPr>
          <w:rFonts w:ascii="David" w:eastAsia="Calibri" w:hAnsi="David"/>
          <w:rtl/>
          <w:lang w:eastAsia="he-IL"/>
        </w:rPr>
      </w:pPr>
    </w:p>
    <w:p w:rsidR="0097107B" w:rsidRPr="0097107B" w:rsidRDefault="00FF2ABD" w:rsidP="0097107B">
      <w:pPr>
        <w:tabs>
          <w:tab w:val="left" w:pos="793"/>
        </w:tabs>
        <w:spacing w:line="360" w:lineRule="auto"/>
        <w:contextualSpacing/>
        <w:jc w:val="both"/>
        <w:rPr>
          <w:rFonts w:ascii="David" w:eastAsia="Calibri" w:hAnsi="David"/>
          <w:b/>
          <w:bCs/>
          <w:u w:val="single"/>
          <w:rtl/>
          <w:lang w:eastAsia="he-IL"/>
        </w:rPr>
      </w:pPr>
      <w:r>
        <w:rPr>
          <w:rFonts w:ascii="David" w:eastAsia="Calibri" w:hAnsi="David" w:hint="cs"/>
          <w:b/>
          <w:bCs/>
          <w:u w:val="single"/>
          <w:rtl/>
          <w:lang w:eastAsia="he-IL"/>
        </w:rPr>
        <w:t>הסמכת בקרי הכניסה לישראל</w:t>
      </w:r>
    </w:p>
    <w:p w:rsidR="0097107B" w:rsidRPr="00A41FC0" w:rsidRDefault="0097107B" w:rsidP="00627CBA">
      <w:pPr>
        <w:numPr>
          <w:ilvl w:val="0"/>
          <w:numId w:val="1"/>
        </w:numPr>
        <w:tabs>
          <w:tab w:val="left" w:pos="793"/>
        </w:tabs>
        <w:spacing w:line="360" w:lineRule="auto"/>
        <w:contextualSpacing/>
        <w:jc w:val="both"/>
        <w:rPr>
          <w:rFonts w:ascii="David" w:hAnsi="David"/>
          <w:rtl/>
          <w:lang w:eastAsia="he-IL"/>
        </w:rPr>
      </w:pPr>
      <w:r w:rsidRPr="0097107B">
        <w:rPr>
          <w:rFonts w:ascii="David" w:eastAsia="Calibri" w:hAnsi="David" w:hint="cs"/>
          <w:rtl/>
          <w:lang w:eastAsia="he-IL"/>
        </w:rPr>
        <w:t xml:space="preserve">כפי שציינתי לעיל, החובה לכבד את זכות הפרטיות החוקתית </w:t>
      </w:r>
      <w:r>
        <w:rPr>
          <w:rFonts w:ascii="David" w:eastAsia="Calibri" w:hAnsi="David" w:hint="cs"/>
          <w:rtl/>
          <w:lang w:eastAsia="he-IL"/>
        </w:rPr>
        <w:t>מ</w:t>
      </w:r>
      <w:r w:rsidRPr="0097107B">
        <w:rPr>
          <w:rFonts w:ascii="David" w:eastAsia="Calibri" w:hAnsi="David" w:hint="cs"/>
          <w:rtl/>
          <w:lang w:eastAsia="he-IL"/>
        </w:rPr>
        <w:t xml:space="preserve">וטלת בראש ובראשונה על רשויות המדינה. לפיכך, השאלה הראשונה שיש לשאול היא האם יש </w:t>
      </w:r>
      <w:r w:rsidRPr="0097107B">
        <w:rPr>
          <w:rtl/>
        </w:rPr>
        <w:t xml:space="preserve">סמכות </w:t>
      </w:r>
      <w:r w:rsidRPr="0097107B">
        <w:rPr>
          <w:rFonts w:hint="cs"/>
          <w:rtl/>
        </w:rPr>
        <w:t>ל</w:t>
      </w:r>
      <w:r w:rsidRPr="0097107B">
        <w:rPr>
          <w:rtl/>
        </w:rPr>
        <w:t xml:space="preserve">בקרי הגבול ונציגי הרשות לחפש במכשירים הניידים של המבקשים להכנס לישראל, </w:t>
      </w:r>
      <w:r w:rsidRPr="00A41FC0">
        <w:rPr>
          <w:rFonts w:ascii="David" w:hAnsi="David"/>
          <w:rtl/>
          <w:lang w:eastAsia="he-IL"/>
        </w:rPr>
        <w:t>שכן הכלל הוא שהרשות אינה מוסמכת לעשות דבר, אלא אם הוסמכה לכך בחוק או על פיו.</w:t>
      </w:r>
      <w:r w:rsidR="00DD1BCD">
        <w:rPr>
          <w:rFonts w:ascii="David" w:hAnsi="David" w:hint="cs"/>
          <w:rtl/>
          <w:lang w:eastAsia="he-IL"/>
        </w:rPr>
        <w:t xml:space="preserve"> והסמכה בחוק, כפופה, כאמור, לתנאי פסקת ההגבלה. לכך אפנה עתה. בהמשך אדון בשאלה מי נהנה מהזכות, והאם הסכמה פוטרת מהצורך בהסמכה הנדרשת.</w:t>
      </w:r>
    </w:p>
    <w:p w:rsidR="0097107B" w:rsidRPr="00A41FC0" w:rsidRDefault="0097107B" w:rsidP="00627CBA">
      <w:pPr>
        <w:tabs>
          <w:tab w:val="left" w:pos="793"/>
        </w:tabs>
        <w:spacing w:line="360" w:lineRule="auto"/>
        <w:contextualSpacing/>
        <w:jc w:val="both"/>
        <w:rPr>
          <w:rFonts w:ascii="David" w:eastAsia="Calibri" w:hAnsi="David"/>
          <w:lang w:eastAsia="he-IL"/>
        </w:rPr>
      </w:pPr>
    </w:p>
    <w:bookmarkEnd w:id="3"/>
    <w:p w:rsidR="00A41FC0" w:rsidRPr="00A41FC0" w:rsidRDefault="00A41FC0" w:rsidP="00627CBA">
      <w:pPr>
        <w:numPr>
          <w:ilvl w:val="0"/>
          <w:numId w:val="1"/>
        </w:numPr>
        <w:tabs>
          <w:tab w:val="left" w:pos="793"/>
        </w:tabs>
        <w:spacing w:line="360" w:lineRule="auto"/>
        <w:contextualSpacing/>
        <w:jc w:val="both"/>
        <w:rPr>
          <w:rFonts w:ascii="David" w:hAnsi="David"/>
          <w:rtl/>
          <w:lang w:eastAsia="he-IL"/>
        </w:rPr>
      </w:pPr>
      <w:r w:rsidRPr="00A41FC0">
        <w:rPr>
          <w:rFonts w:ascii="David" w:hAnsi="David"/>
          <w:rtl/>
          <w:lang w:eastAsia="he-IL"/>
        </w:rPr>
        <w:t xml:space="preserve">כמקובל במדינות הדמוקרטיות המודרניות, נתון למדינת ישראל במסגרת ריבונותה שיקול דעת רחב למנוע מזרים להשתקע בה, ואפילו להיכנס לתחומה כתיירים. משכך, אין לאף אדם שאיננו אזרח או תושב המדינה, זכות קנויה לבוא בשערי מדינת ישראל או לשהות בה, בין כתייר ובין כתושב (בג"ץ 482/71 </w:t>
      </w:r>
      <w:r w:rsidRPr="00A41FC0">
        <w:rPr>
          <w:rFonts w:ascii="David" w:hAnsi="David"/>
          <w:b/>
          <w:bCs/>
          <w:rtl/>
          <w:lang w:eastAsia="he-IL"/>
        </w:rPr>
        <w:t>לאוניה מאה קלרק נ' שר הפנים</w:t>
      </w:r>
      <w:r w:rsidRPr="00A41FC0">
        <w:rPr>
          <w:rFonts w:ascii="David" w:hAnsi="David"/>
          <w:rtl/>
          <w:lang w:eastAsia="he-IL"/>
        </w:rPr>
        <w:t xml:space="preserve">, פ"ד כז(1) 113, 117 (1972); בג"ץ 740/87 </w:t>
      </w:r>
      <w:r w:rsidRPr="00A41FC0">
        <w:rPr>
          <w:rFonts w:ascii="David" w:hAnsi="David"/>
          <w:b/>
          <w:bCs/>
          <w:rtl/>
          <w:lang w:eastAsia="he-IL"/>
        </w:rPr>
        <w:t>מיכאל בנטלי נ' שר הפנים</w:t>
      </w:r>
      <w:r w:rsidRPr="00A41FC0">
        <w:rPr>
          <w:rFonts w:ascii="David" w:hAnsi="David"/>
          <w:rtl/>
          <w:lang w:eastAsia="he-IL"/>
        </w:rPr>
        <w:t xml:space="preserve">, פ"ד מב(1) 443 (1988); בג"ץ 4156/01 </w:t>
      </w:r>
      <w:r w:rsidRPr="00A41FC0">
        <w:rPr>
          <w:rFonts w:ascii="David" w:hAnsi="David"/>
          <w:b/>
          <w:bCs/>
          <w:rtl/>
          <w:lang w:eastAsia="he-IL"/>
        </w:rPr>
        <w:t>מריו דימיטריוב נ' שר הפנים</w:t>
      </w:r>
      <w:r w:rsidRPr="00A41FC0">
        <w:rPr>
          <w:rFonts w:ascii="David" w:hAnsi="David"/>
          <w:rtl/>
          <w:lang w:eastAsia="he-IL"/>
        </w:rPr>
        <w:t>, פ"ד נו(6) 289, 293 (2002)).</w:t>
      </w:r>
    </w:p>
    <w:p w:rsidR="00A41FC0" w:rsidRPr="00A41FC0" w:rsidRDefault="00A41FC0" w:rsidP="00627CBA">
      <w:pPr>
        <w:tabs>
          <w:tab w:val="left" w:pos="793"/>
        </w:tabs>
        <w:spacing w:line="360" w:lineRule="auto"/>
        <w:contextualSpacing/>
        <w:jc w:val="both"/>
        <w:rPr>
          <w:rFonts w:ascii="David" w:hAnsi="David"/>
          <w:lang w:eastAsia="he-IL"/>
        </w:rPr>
      </w:pPr>
    </w:p>
    <w:p w:rsidR="00A41FC0" w:rsidRPr="00A41FC0" w:rsidRDefault="00A41FC0" w:rsidP="00627CBA">
      <w:pPr>
        <w:numPr>
          <w:ilvl w:val="0"/>
          <w:numId w:val="1"/>
        </w:numPr>
        <w:tabs>
          <w:tab w:val="left" w:pos="793"/>
        </w:tabs>
        <w:spacing w:line="360" w:lineRule="auto"/>
        <w:contextualSpacing/>
        <w:jc w:val="both"/>
        <w:rPr>
          <w:rFonts w:ascii="David" w:hAnsi="David"/>
          <w:lang w:eastAsia="he-IL"/>
        </w:rPr>
      </w:pPr>
      <w:r w:rsidRPr="00A41FC0">
        <w:rPr>
          <w:rFonts w:ascii="David" w:hAnsi="David"/>
          <w:rtl/>
          <w:lang w:eastAsia="he-IL"/>
        </w:rPr>
        <w:t xml:space="preserve">החוק בישראל קובע כי מי שאינם אזרחי ישראל או בעלי אשרת עולה או תעודת עולה, תוסדר כניסתם לארץ ושהייתם בה מכוח חוק הכניסה לישראל, התשי"ב-1952 (להלן: </w:t>
      </w:r>
      <w:r w:rsidRPr="00A41FC0">
        <w:rPr>
          <w:rFonts w:ascii="David" w:hAnsi="David"/>
          <w:b/>
          <w:bCs/>
          <w:rtl/>
          <w:lang w:eastAsia="he-IL"/>
        </w:rPr>
        <w:t xml:space="preserve">חוק הכניסה </w:t>
      </w:r>
      <w:r w:rsidRPr="00A41FC0">
        <w:rPr>
          <w:rFonts w:ascii="David" w:hAnsi="David"/>
          <w:b/>
          <w:bCs/>
          <w:rtl/>
          <w:lang w:eastAsia="he-IL"/>
        </w:rPr>
        <w:lastRenderedPageBreak/>
        <w:t>לישראל)</w:t>
      </w:r>
      <w:r w:rsidRPr="00A41FC0">
        <w:rPr>
          <w:rFonts w:ascii="David" w:hAnsi="David"/>
          <w:rtl/>
          <w:lang w:eastAsia="he-IL"/>
        </w:rPr>
        <w:t xml:space="preserve">, והתקנות שהותקנו מכוחו. תכליתו העיקרית של חוק הכניסה לישראל הינה לאפשר לרשות לקבוע מי רשאי לשהות בישראל ובאיזה מעמד, ולשר הפנים נתון שיקול דעת רחב בהפעלת סמכויותיו על פי החוק, להעניק או שלא להעניק רשיונות כניסה וישיבה בה (ראו בין רבים: בג"ץ 758/88 </w:t>
      </w:r>
      <w:r w:rsidRPr="00A41FC0">
        <w:rPr>
          <w:rFonts w:ascii="David" w:hAnsi="David"/>
          <w:b/>
          <w:bCs/>
          <w:rtl/>
          <w:lang w:eastAsia="he-IL"/>
        </w:rPr>
        <w:t>ריצ'רד קנדל נ' שר הפנים</w:t>
      </w:r>
      <w:r w:rsidRPr="00A41FC0">
        <w:rPr>
          <w:rFonts w:ascii="David" w:hAnsi="David"/>
          <w:rtl/>
          <w:lang w:eastAsia="he-IL"/>
        </w:rPr>
        <w:t xml:space="preserve">, פ"ד מו(4) 505, 520 (1992); בג"ץ 2355/98 </w:t>
      </w:r>
      <w:r w:rsidRPr="00A41FC0">
        <w:rPr>
          <w:rFonts w:ascii="David" w:hAnsi="David"/>
          <w:b/>
          <w:bCs/>
          <w:rtl/>
          <w:lang w:eastAsia="he-IL"/>
        </w:rPr>
        <w:t>ישראל סטמקה נ' שר הפנים</w:t>
      </w:r>
      <w:r w:rsidRPr="00A41FC0">
        <w:rPr>
          <w:rFonts w:ascii="David" w:hAnsi="David"/>
          <w:rtl/>
          <w:lang w:eastAsia="he-IL"/>
        </w:rPr>
        <w:t xml:space="preserve">, פ"ד נג (2) 728 (1999) (להלן: </w:t>
      </w:r>
      <w:r w:rsidRPr="00A41FC0">
        <w:rPr>
          <w:rFonts w:ascii="David" w:hAnsi="David"/>
          <w:b/>
          <w:bCs/>
          <w:rtl/>
          <w:lang w:eastAsia="he-IL"/>
        </w:rPr>
        <w:t>עניין סטמקה</w:t>
      </w:r>
      <w:r w:rsidRPr="00A41FC0">
        <w:rPr>
          <w:rFonts w:ascii="David" w:hAnsi="David"/>
          <w:rtl/>
          <w:lang w:eastAsia="he-IL"/>
        </w:rPr>
        <w:t xml:space="preserve">) ובר"מ 8707/19 </w:t>
      </w:r>
      <w:r w:rsidRPr="00A41FC0">
        <w:rPr>
          <w:rFonts w:ascii="David" w:hAnsi="David"/>
          <w:b/>
          <w:bCs/>
          <w:rtl/>
          <w:lang w:eastAsia="he-IL"/>
        </w:rPr>
        <w:t>טינה לופז נ' רשות האוכלוסין וההגירה משרד הפנים</w:t>
      </w:r>
      <w:r w:rsidRPr="00A41FC0">
        <w:rPr>
          <w:rFonts w:ascii="David" w:hAnsi="David"/>
          <w:rtl/>
          <w:lang w:eastAsia="he-IL"/>
        </w:rPr>
        <w:t xml:space="preserve"> פס' 22-21 (נבו, 15.10.20)).</w:t>
      </w:r>
    </w:p>
    <w:p w:rsidR="00A41FC0" w:rsidRPr="00A41FC0" w:rsidRDefault="00A41FC0" w:rsidP="00A41FC0">
      <w:pPr>
        <w:spacing w:before="240"/>
        <w:ind w:left="720"/>
        <w:contextualSpacing/>
        <w:jc w:val="both"/>
        <w:rPr>
          <w:rFonts w:ascii="David" w:hAnsi="David"/>
          <w:lang w:eastAsia="he-IL"/>
        </w:rPr>
      </w:pPr>
    </w:p>
    <w:p w:rsidR="000458E5" w:rsidRDefault="00A41FC0" w:rsidP="000458E5">
      <w:pPr>
        <w:numPr>
          <w:ilvl w:val="0"/>
          <w:numId w:val="1"/>
        </w:numPr>
        <w:tabs>
          <w:tab w:val="left" w:pos="793"/>
        </w:tabs>
        <w:spacing w:line="360" w:lineRule="auto"/>
        <w:contextualSpacing/>
        <w:jc w:val="both"/>
        <w:rPr>
          <w:rFonts w:ascii="David" w:hAnsi="David"/>
          <w:lang w:eastAsia="he-IL"/>
        </w:rPr>
      </w:pPr>
      <w:r w:rsidRPr="00A41FC0">
        <w:rPr>
          <w:rFonts w:ascii="David" w:hAnsi="David"/>
          <w:rtl/>
          <w:lang w:eastAsia="he-IL"/>
        </w:rPr>
        <w:t>סעיף 13ד לחוק הכניסה לישר</w:t>
      </w:r>
      <w:r w:rsidR="000458E5">
        <w:rPr>
          <w:rFonts w:ascii="David" w:hAnsi="David"/>
          <w:rtl/>
          <w:lang w:eastAsia="he-IL"/>
        </w:rPr>
        <w:t>אל מאפשר לשר הפנים למנות פקחים</w:t>
      </w:r>
      <w:r w:rsidR="000458E5">
        <w:rPr>
          <w:rFonts w:ascii="David" w:hAnsi="David" w:hint="cs"/>
          <w:rtl/>
          <w:lang w:eastAsia="he-IL"/>
        </w:rPr>
        <w:t xml:space="preserve"> </w:t>
      </w:r>
      <w:r w:rsidRPr="00A41FC0">
        <w:rPr>
          <w:rFonts w:ascii="David" w:hAnsi="David"/>
          <w:rtl/>
          <w:lang w:eastAsia="he-IL"/>
        </w:rPr>
        <w:t>לצורך אכיפת הוראות החוק. סעיף 13ה לחוק הכניסה לישראל קובע כי פקח או שוטר רשאים לדרוש מאדם שיש יסוד להניח כי שהייתו בישראל מחייבת רישיון, לזהות את עצמו, להציג מסמכים ולמסור ידיעות בנוגע לשהייתו. בנוסף מאפשר הסעיף: "</w:t>
      </w:r>
      <w:r w:rsidRPr="00A41FC0">
        <w:rPr>
          <w:rFonts w:ascii="David" w:hAnsi="David"/>
          <w:b/>
          <w:bCs/>
          <w:rtl/>
          <w:lang w:eastAsia="he-IL"/>
        </w:rPr>
        <w:t>להיכנס בכל עת סבירה למקום, למעט מקום מגורים, שלגביו יש חדש כי מצוי בו אדם השוה שלא כדין בישראל כדי לערוך בדיקה בעניין</w:t>
      </w:r>
      <w:r w:rsidRPr="00A41FC0">
        <w:rPr>
          <w:rFonts w:ascii="David" w:hAnsi="David"/>
          <w:rtl/>
          <w:lang w:eastAsia="he-IL"/>
        </w:rPr>
        <w:t xml:space="preserve">". מנגד, קובע סעיף 13ה(ג) כי לשם כניסה למקום מגורים לבחינה האם מצוי שם אדם השוהה שלא כדין, נדרש צו של שופט, שבלעדיו החיפוש אסור. </w:t>
      </w:r>
    </w:p>
    <w:p w:rsidR="000458E5" w:rsidRDefault="000458E5" w:rsidP="000458E5">
      <w:pPr>
        <w:pStyle w:val="ad"/>
        <w:spacing w:line="360" w:lineRule="auto"/>
        <w:ind w:left="0"/>
        <w:rPr>
          <w:rFonts w:ascii="David" w:hAnsi="David"/>
          <w:rtl/>
          <w:lang w:eastAsia="he-IL"/>
        </w:rPr>
      </w:pPr>
    </w:p>
    <w:p w:rsidR="00A41FC0" w:rsidRPr="00A41FC0" w:rsidRDefault="000458E5" w:rsidP="000458E5">
      <w:pPr>
        <w:numPr>
          <w:ilvl w:val="0"/>
          <w:numId w:val="1"/>
        </w:numPr>
        <w:tabs>
          <w:tab w:val="left" w:pos="793"/>
        </w:tabs>
        <w:spacing w:line="360" w:lineRule="auto"/>
        <w:contextualSpacing/>
        <w:jc w:val="both"/>
        <w:rPr>
          <w:rFonts w:ascii="David" w:hAnsi="David"/>
          <w:rtl/>
          <w:lang w:eastAsia="he-IL"/>
        </w:rPr>
      </w:pPr>
      <w:r>
        <w:rPr>
          <w:rFonts w:ascii="David" w:hAnsi="David" w:hint="cs"/>
          <w:rtl/>
          <w:lang w:eastAsia="he-IL"/>
        </w:rPr>
        <w:t xml:space="preserve">היינו, הפגיעה בזכויות באמצעות חיפוש פיזי בחצרים מוסדרת בחקיקה ראשית, </w:t>
      </w:r>
      <w:r w:rsidR="00A41FC0" w:rsidRPr="00A41FC0">
        <w:rPr>
          <w:rFonts w:ascii="David" w:hAnsi="David"/>
          <w:rtl/>
          <w:lang w:eastAsia="he-IL"/>
        </w:rPr>
        <w:t>בחוק הכניסה לישראל עצמו. מכוח החוק הוציאה הרשות נוהל הפעלת סמכויות פקח (נוהל 10.8.0002) המפרט את אופן הפעולה הנדרש מפקח.</w:t>
      </w:r>
      <w:r w:rsidR="00FD6375">
        <w:rPr>
          <w:rFonts w:ascii="David" w:hAnsi="David"/>
          <w:rtl/>
          <w:lang w:eastAsia="he-IL"/>
        </w:rPr>
        <w:t xml:space="preserve"> </w:t>
      </w:r>
      <w:r w:rsidR="00A41FC0" w:rsidRPr="00A41FC0">
        <w:rPr>
          <w:rFonts w:ascii="David" w:hAnsi="David"/>
          <w:rtl/>
          <w:lang w:eastAsia="he-IL"/>
        </w:rPr>
        <w:t>הנוהל דורש, בין היתר</w:t>
      </w:r>
      <w:r w:rsidR="00FD6375">
        <w:rPr>
          <w:rFonts w:ascii="David" w:hAnsi="David"/>
          <w:rtl/>
          <w:lang w:eastAsia="he-IL"/>
        </w:rPr>
        <w:t xml:space="preserve"> </w:t>
      </w:r>
      <w:r w:rsidR="00A41FC0" w:rsidRPr="00A41FC0">
        <w:rPr>
          <w:rFonts w:ascii="David" w:hAnsi="David"/>
          <w:rtl/>
          <w:lang w:eastAsia="he-IL"/>
        </w:rPr>
        <w:t>לתעד את הפעילות (ס' 4.1. לנוהל). בסעיף 4.2 לנוהל נקבע: "</w:t>
      </w:r>
      <w:r w:rsidR="00A41FC0" w:rsidRPr="00A41FC0">
        <w:rPr>
          <w:b/>
          <w:bCs/>
          <w:rtl/>
        </w:rPr>
        <w:t>ככל שניתן,</w:t>
      </w:r>
      <w:r w:rsidR="00A41FC0" w:rsidRPr="00A41FC0">
        <w:rPr>
          <w:rFonts w:hint="cs"/>
          <w:b/>
          <w:bCs/>
        </w:rPr>
        <w:t xml:space="preserve"> </w:t>
      </w:r>
      <w:r w:rsidR="00A41FC0" w:rsidRPr="00A41FC0">
        <w:rPr>
          <w:b/>
          <w:bCs/>
          <w:rtl/>
        </w:rPr>
        <w:t>יש לתעד את הפעילות בדרך של הקלטה וצילום</w:t>
      </w:r>
      <w:r w:rsidR="00A41FC0" w:rsidRPr="00A41FC0">
        <w:rPr>
          <w:rFonts w:hint="cs"/>
          <w:b/>
          <w:bCs/>
        </w:rPr>
        <w:t xml:space="preserve"> </w:t>
      </w:r>
      <w:r w:rsidR="00A41FC0" w:rsidRPr="00A41FC0">
        <w:rPr>
          <w:b/>
          <w:bCs/>
          <w:rtl/>
        </w:rPr>
        <w:t>וידאו וסטילס</w:t>
      </w:r>
      <w:r w:rsidR="00A41FC0" w:rsidRPr="00A41FC0">
        <w:rPr>
          <w:rtl/>
        </w:rPr>
        <w:t xml:space="preserve">". הבאתי סעיפים אלו על אף שאינם נוגעים לענייננו, שכן, כאשר מתבקש חיפוש בבית מגורים החוק המסמיך מחייב צו שופט, וגם כניסה למקום שאינו </w:t>
      </w:r>
      <w:r w:rsidR="00FC5C62">
        <w:rPr>
          <w:rtl/>
        </w:rPr>
        <w:t>למגורים</w:t>
      </w:r>
      <w:r w:rsidR="00A41FC0" w:rsidRPr="00A41FC0">
        <w:rPr>
          <w:rtl/>
        </w:rPr>
        <w:t xml:space="preserve"> במטרה מוגבלת לאתר שוהים בלתי חוקיים</w:t>
      </w:r>
      <w:r w:rsidR="00FC5C62">
        <w:rPr>
          <w:rFonts w:hint="cs"/>
          <w:rtl/>
        </w:rPr>
        <w:t xml:space="preserve">, </w:t>
      </w:r>
      <w:r w:rsidR="00A41FC0" w:rsidRPr="00A41FC0">
        <w:rPr>
          <w:rtl/>
        </w:rPr>
        <w:t>יש לתעד ככל הניתן בצילום.</w:t>
      </w:r>
      <w:r w:rsidR="00A41FC0" w:rsidRPr="00A41FC0">
        <w:rPr>
          <w:rFonts w:ascii="David" w:hAnsi="David"/>
          <w:rtl/>
          <w:lang w:eastAsia="he-IL"/>
        </w:rPr>
        <w:t xml:space="preserve"> כעת אעבור למצוי בחוק או באופן מדויק יותר, למה שאינו מצוי בחוק, בנוגע לחיפוש בטלפונים </w:t>
      </w:r>
      <w:r>
        <w:rPr>
          <w:rFonts w:ascii="David" w:hAnsi="David" w:hint="cs"/>
          <w:rtl/>
          <w:lang w:eastAsia="he-IL"/>
        </w:rPr>
        <w:t xml:space="preserve">ניידים </w:t>
      </w:r>
      <w:r w:rsidR="00A41FC0" w:rsidRPr="00A41FC0">
        <w:rPr>
          <w:rFonts w:ascii="David" w:hAnsi="David"/>
          <w:rtl/>
          <w:lang w:eastAsia="he-IL"/>
        </w:rPr>
        <w:t xml:space="preserve">של </w:t>
      </w:r>
      <w:r>
        <w:rPr>
          <w:rFonts w:ascii="David" w:hAnsi="David" w:hint="cs"/>
          <w:rtl/>
          <w:lang w:eastAsia="he-IL"/>
        </w:rPr>
        <w:t>המבקשים להיכנס</w:t>
      </w:r>
      <w:r w:rsidR="00A41FC0" w:rsidRPr="00A41FC0">
        <w:rPr>
          <w:rFonts w:ascii="David" w:hAnsi="David"/>
          <w:rtl/>
          <w:lang w:eastAsia="he-IL"/>
        </w:rPr>
        <w:t xml:space="preserve"> לישראל. </w:t>
      </w:r>
    </w:p>
    <w:p w:rsidR="00A41FC0" w:rsidRPr="00A41FC0" w:rsidRDefault="00A41FC0" w:rsidP="00A41FC0">
      <w:pPr>
        <w:spacing w:before="240"/>
        <w:ind w:left="720"/>
        <w:contextualSpacing/>
        <w:jc w:val="both"/>
        <w:rPr>
          <w:rFonts w:ascii="David" w:hAnsi="David"/>
          <w:lang w:eastAsia="he-IL"/>
        </w:rPr>
      </w:pPr>
    </w:p>
    <w:p w:rsidR="00A41FC0" w:rsidRPr="00A41FC0" w:rsidRDefault="00A41FC0" w:rsidP="000458E5">
      <w:pPr>
        <w:numPr>
          <w:ilvl w:val="0"/>
          <w:numId w:val="1"/>
        </w:numPr>
        <w:tabs>
          <w:tab w:val="left" w:pos="793"/>
        </w:tabs>
        <w:spacing w:line="360" w:lineRule="auto"/>
        <w:contextualSpacing/>
        <w:jc w:val="both"/>
        <w:rPr>
          <w:rFonts w:ascii="David" w:hAnsi="David"/>
          <w:b/>
          <w:bCs/>
          <w:rtl/>
          <w:lang w:eastAsia="he-IL"/>
        </w:rPr>
      </w:pPr>
      <w:r w:rsidRPr="00A41FC0">
        <w:rPr>
          <w:rFonts w:ascii="David" w:hAnsi="David"/>
          <w:rtl/>
          <w:lang w:eastAsia="he-IL"/>
        </w:rPr>
        <w:t xml:space="preserve">בפרק השני לחוק הכניסה לישראל קבועות הוראות באשר לקבלת מידע על נוסעים העתידים להגיע לישראל, והוראות מפורטות, בחוק עצמו, לגבי שמירת אותו מידע. סעיף 9 לחוק, הרלבנטי לעניינו, קובע: </w:t>
      </w:r>
      <w:r w:rsidRPr="00A41FC0">
        <w:rPr>
          <w:rFonts w:ascii="David" w:hAnsi="David"/>
          <w:b/>
          <w:bCs/>
          <w:rtl/>
          <w:lang w:eastAsia="he-IL"/>
        </w:rPr>
        <w:t>"מי שבא לישראל ורוצה להיכנס אליה, רשאי קצין בקורת הגבולות לעכב את כניסתו עד לבירור אם רשאי הוא להיכנס, ולהורות מקום ששם יימצא עד גמר הבירור או עד ליציאתו מישראל.".</w:t>
      </w:r>
    </w:p>
    <w:p w:rsidR="00A41FC0" w:rsidRPr="00A41FC0" w:rsidRDefault="00A41FC0" w:rsidP="000458E5">
      <w:pPr>
        <w:tabs>
          <w:tab w:val="left" w:pos="793"/>
        </w:tabs>
        <w:spacing w:line="360" w:lineRule="auto"/>
        <w:contextualSpacing/>
        <w:jc w:val="both"/>
        <w:rPr>
          <w:rFonts w:ascii="David" w:hAnsi="David"/>
          <w:lang w:eastAsia="he-IL"/>
        </w:rPr>
      </w:pPr>
    </w:p>
    <w:p w:rsidR="00A41FC0" w:rsidRPr="00A41FC0" w:rsidRDefault="00A41FC0" w:rsidP="000458E5">
      <w:pPr>
        <w:numPr>
          <w:ilvl w:val="0"/>
          <w:numId w:val="1"/>
        </w:numPr>
        <w:tabs>
          <w:tab w:val="left" w:pos="793"/>
        </w:tabs>
        <w:spacing w:line="360" w:lineRule="auto"/>
        <w:contextualSpacing/>
        <w:jc w:val="both"/>
        <w:rPr>
          <w:rFonts w:ascii="David" w:hAnsi="David"/>
          <w:rtl/>
          <w:lang w:eastAsia="he-IL"/>
        </w:rPr>
      </w:pPr>
      <w:r w:rsidRPr="00A41FC0">
        <w:rPr>
          <w:rFonts w:ascii="David" w:hAnsi="David"/>
          <w:rtl/>
          <w:lang w:eastAsia="he-IL"/>
        </w:rPr>
        <w:t>מכוח הוראה זו נקבע נוהל</w:t>
      </w:r>
      <w:r w:rsidRPr="00A41FC0">
        <w:rPr>
          <w:rFonts w:ascii="David" w:hAnsi="David"/>
          <w:lang w:eastAsia="he-IL"/>
        </w:rPr>
        <w:t xml:space="preserve"> </w:t>
      </w:r>
      <w:r w:rsidRPr="00A41FC0">
        <w:rPr>
          <w:rFonts w:ascii="David" w:hAnsi="David"/>
          <w:rtl/>
          <w:lang w:eastAsia="he-IL"/>
        </w:rPr>
        <w:t>רשות האוכלוסין וההגירה מספר 6.4.0010 בדבר הטיפול</w:t>
      </w:r>
      <w:r w:rsidRPr="00A41FC0">
        <w:rPr>
          <w:rFonts w:ascii="David" w:hAnsi="David"/>
          <w:lang w:eastAsia="he-IL"/>
        </w:rPr>
        <w:t xml:space="preserve"> </w:t>
      </w:r>
      <w:r w:rsidRPr="00A41FC0">
        <w:rPr>
          <w:rFonts w:ascii="David" w:hAnsi="David"/>
          <w:rtl/>
          <w:lang w:eastAsia="he-IL"/>
        </w:rPr>
        <w:t>בעוברים</w:t>
      </w:r>
      <w:r w:rsidRPr="00A41FC0">
        <w:rPr>
          <w:rFonts w:ascii="David" w:hAnsi="David"/>
          <w:lang w:eastAsia="he-IL"/>
        </w:rPr>
        <w:t xml:space="preserve"> </w:t>
      </w:r>
      <w:r w:rsidRPr="00A41FC0">
        <w:rPr>
          <w:rFonts w:ascii="David" w:hAnsi="David"/>
          <w:rtl/>
          <w:lang w:eastAsia="he-IL"/>
        </w:rPr>
        <w:t>במעברי</w:t>
      </w:r>
      <w:r w:rsidRPr="00A41FC0">
        <w:rPr>
          <w:rFonts w:ascii="David" w:hAnsi="David"/>
          <w:lang w:eastAsia="he-IL"/>
        </w:rPr>
        <w:t xml:space="preserve"> </w:t>
      </w:r>
      <w:r w:rsidRPr="00A41FC0">
        <w:rPr>
          <w:rFonts w:ascii="David" w:hAnsi="David"/>
          <w:rtl/>
          <w:lang w:eastAsia="he-IL"/>
        </w:rPr>
        <w:t>הגבול</w:t>
      </w:r>
      <w:r w:rsidRPr="00A41FC0">
        <w:rPr>
          <w:rFonts w:ascii="David" w:hAnsi="David"/>
          <w:lang w:eastAsia="he-IL"/>
        </w:rPr>
        <w:t xml:space="preserve"> </w:t>
      </w:r>
      <w:r w:rsidRPr="00A41FC0">
        <w:rPr>
          <w:rFonts w:ascii="David" w:hAnsi="David"/>
          <w:rtl/>
          <w:lang w:eastAsia="he-IL"/>
        </w:rPr>
        <w:t>הבינלאומיים</w:t>
      </w:r>
      <w:r w:rsidRPr="00A41FC0">
        <w:rPr>
          <w:rFonts w:ascii="David" w:hAnsi="David"/>
          <w:lang w:eastAsia="he-IL"/>
        </w:rPr>
        <w:t xml:space="preserve"> </w:t>
      </w:r>
      <w:r w:rsidRPr="00A41FC0">
        <w:rPr>
          <w:rFonts w:ascii="David" w:hAnsi="David"/>
          <w:rtl/>
          <w:lang w:eastAsia="he-IL"/>
        </w:rPr>
        <w:t>של</w:t>
      </w:r>
      <w:r w:rsidRPr="00A41FC0">
        <w:rPr>
          <w:rFonts w:ascii="David" w:hAnsi="David"/>
          <w:lang w:eastAsia="he-IL"/>
        </w:rPr>
        <w:t xml:space="preserve"> </w:t>
      </w:r>
      <w:r w:rsidRPr="00A41FC0">
        <w:rPr>
          <w:rFonts w:ascii="David" w:hAnsi="David"/>
          <w:rtl/>
          <w:lang w:eastAsia="he-IL"/>
        </w:rPr>
        <w:t xml:space="preserve">ישראל (להלן: </w:t>
      </w:r>
      <w:r w:rsidRPr="00A41FC0">
        <w:rPr>
          <w:rFonts w:ascii="David" w:hAnsi="David"/>
          <w:b/>
          <w:bCs/>
          <w:rtl/>
          <w:lang w:eastAsia="he-IL"/>
        </w:rPr>
        <w:t>נוהל 6.4.0010</w:t>
      </w:r>
      <w:r w:rsidRPr="00A41FC0">
        <w:rPr>
          <w:rFonts w:ascii="David" w:hAnsi="David"/>
          <w:rtl/>
          <w:lang w:eastAsia="he-IL"/>
        </w:rPr>
        <w:t xml:space="preserve">). בסעיף המטרות של נוהל 6.4.0010 נקבע, בין היתר: </w:t>
      </w:r>
    </w:p>
    <w:p w:rsidR="00A4386B" w:rsidRPr="00A4386B" w:rsidRDefault="00A41FC0" w:rsidP="00A4386B">
      <w:pPr>
        <w:ind w:left="567" w:right="567"/>
        <w:jc w:val="both"/>
        <w:rPr>
          <w:rFonts w:ascii="David" w:eastAsia="David" w:hAnsi="David"/>
          <w:b/>
          <w:bCs/>
          <w:noProof w:val="0"/>
          <w:rtl/>
          <w:lang w:eastAsia="he-IL"/>
        </w:rPr>
      </w:pPr>
      <w:r w:rsidRPr="00A41FC0">
        <w:rPr>
          <w:rFonts w:ascii="David" w:eastAsia="David" w:hAnsi="David" w:hint="cs"/>
          <w:b/>
          <w:bCs/>
          <w:rtl/>
          <w:lang w:eastAsia="he-IL"/>
        </w:rPr>
        <w:t>"נוהל</w:t>
      </w:r>
      <w:r w:rsidRPr="00A41FC0">
        <w:rPr>
          <w:rFonts w:ascii="David" w:eastAsia="David" w:hAnsi="David" w:hint="cs"/>
          <w:b/>
          <w:bCs/>
          <w:lang w:eastAsia="he-IL"/>
        </w:rPr>
        <w:t xml:space="preserve"> </w:t>
      </w:r>
      <w:r w:rsidRPr="00A41FC0">
        <w:rPr>
          <w:rFonts w:ascii="David" w:eastAsia="David" w:hAnsi="David" w:hint="cs"/>
          <w:b/>
          <w:bCs/>
          <w:rtl/>
          <w:lang w:eastAsia="he-IL"/>
        </w:rPr>
        <w:t>זה</w:t>
      </w:r>
      <w:r w:rsidRPr="00A41FC0">
        <w:rPr>
          <w:rFonts w:ascii="David" w:eastAsia="David" w:hAnsi="David" w:hint="cs"/>
          <w:b/>
          <w:bCs/>
          <w:lang w:eastAsia="he-IL"/>
        </w:rPr>
        <w:t xml:space="preserve"> </w:t>
      </w:r>
      <w:r w:rsidRPr="00A41FC0">
        <w:rPr>
          <w:rFonts w:ascii="David" w:eastAsia="David" w:hAnsi="David" w:hint="cs"/>
          <w:b/>
          <w:bCs/>
          <w:rtl/>
          <w:lang w:eastAsia="he-IL"/>
        </w:rPr>
        <w:t>נועד</w:t>
      </w:r>
      <w:r w:rsidRPr="00A41FC0">
        <w:rPr>
          <w:rFonts w:ascii="David" w:eastAsia="David" w:hAnsi="David" w:hint="cs"/>
          <w:b/>
          <w:bCs/>
          <w:lang w:eastAsia="he-IL"/>
        </w:rPr>
        <w:t xml:space="preserve"> </w:t>
      </w:r>
      <w:r w:rsidRPr="00A41FC0">
        <w:rPr>
          <w:rFonts w:ascii="David" w:eastAsia="David" w:hAnsi="David" w:hint="cs"/>
          <w:b/>
          <w:bCs/>
          <w:rtl/>
          <w:lang w:eastAsia="he-IL"/>
        </w:rPr>
        <w:t>לקבוע</w:t>
      </w:r>
      <w:r w:rsidRPr="00A41FC0">
        <w:rPr>
          <w:rFonts w:ascii="David" w:eastAsia="David" w:hAnsi="David" w:hint="cs"/>
          <w:b/>
          <w:bCs/>
          <w:lang w:eastAsia="he-IL"/>
        </w:rPr>
        <w:t xml:space="preserve"> </w:t>
      </w:r>
      <w:r w:rsidRPr="00A41FC0">
        <w:rPr>
          <w:rFonts w:ascii="David" w:eastAsia="David" w:hAnsi="David" w:hint="cs"/>
          <w:b/>
          <w:bCs/>
          <w:rtl/>
          <w:lang w:eastAsia="he-IL"/>
        </w:rPr>
        <w:t>את</w:t>
      </w:r>
      <w:r w:rsidRPr="00A41FC0">
        <w:rPr>
          <w:rFonts w:ascii="David" w:eastAsia="David" w:hAnsi="David" w:hint="cs"/>
          <w:b/>
          <w:bCs/>
          <w:lang w:eastAsia="he-IL"/>
        </w:rPr>
        <w:t xml:space="preserve"> </w:t>
      </w:r>
      <w:r w:rsidRPr="00A41FC0">
        <w:rPr>
          <w:rFonts w:ascii="David" w:eastAsia="David" w:hAnsi="David" w:hint="cs"/>
          <w:b/>
          <w:bCs/>
          <w:rtl/>
          <w:lang w:eastAsia="he-IL"/>
        </w:rPr>
        <w:t>אופן</w:t>
      </w:r>
      <w:r w:rsidRPr="00A41FC0">
        <w:rPr>
          <w:rFonts w:ascii="David" w:eastAsia="David" w:hAnsi="David" w:hint="cs"/>
          <w:b/>
          <w:bCs/>
          <w:lang w:eastAsia="he-IL"/>
        </w:rPr>
        <w:t xml:space="preserve"> </w:t>
      </w:r>
      <w:r w:rsidRPr="00A41FC0">
        <w:rPr>
          <w:rFonts w:ascii="David" w:eastAsia="David" w:hAnsi="David" w:hint="cs"/>
          <w:b/>
          <w:bCs/>
          <w:rtl/>
          <w:lang w:eastAsia="he-IL"/>
        </w:rPr>
        <w:t>הטיפול</w:t>
      </w:r>
      <w:r w:rsidRPr="00A41FC0">
        <w:rPr>
          <w:rFonts w:ascii="David" w:eastAsia="David" w:hAnsi="David" w:hint="cs"/>
          <w:b/>
          <w:bCs/>
          <w:lang w:eastAsia="he-IL"/>
        </w:rPr>
        <w:t xml:space="preserve"> </w:t>
      </w:r>
      <w:r w:rsidRPr="00A41FC0">
        <w:rPr>
          <w:rFonts w:ascii="David" w:eastAsia="David" w:hAnsi="David" w:hint="cs"/>
          <w:b/>
          <w:bCs/>
          <w:rtl/>
          <w:lang w:eastAsia="he-IL"/>
        </w:rPr>
        <w:t>בעוברים</w:t>
      </w:r>
      <w:r w:rsidRPr="00A41FC0">
        <w:rPr>
          <w:rFonts w:ascii="David" w:eastAsia="David" w:hAnsi="David" w:hint="cs"/>
          <w:b/>
          <w:bCs/>
          <w:lang w:eastAsia="he-IL"/>
        </w:rPr>
        <w:t xml:space="preserve"> </w:t>
      </w:r>
      <w:r w:rsidRPr="00A41FC0">
        <w:rPr>
          <w:rFonts w:ascii="David" w:eastAsia="David" w:hAnsi="David" w:hint="cs"/>
          <w:b/>
          <w:bCs/>
          <w:rtl/>
          <w:lang w:eastAsia="he-IL"/>
        </w:rPr>
        <w:t>במעברי</w:t>
      </w:r>
      <w:r w:rsidRPr="00A41FC0">
        <w:rPr>
          <w:rFonts w:ascii="David" w:eastAsia="David" w:hAnsi="David" w:hint="cs"/>
          <w:b/>
          <w:bCs/>
          <w:lang w:eastAsia="he-IL"/>
        </w:rPr>
        <w:t xml:space="preserve"> </w:t>
      </w:r>
      <w:r w:rsidRPr="00A41FC0">
        <w:rPr>
          <w:rFonts w:ascii="David" w:eastAsia="David" w:hAnsi="David" w:hint="cs"/>
          <w:b/>
          <w:bCs/>
          <w:rtl/>
          <w:lang w:eastAsia="he-IL"/>
        </w:rPr>
        <w:t>הגבול</w:t>
      </w:r>
      <w:r w:rsidRPr="00A41FC0">
        <w:rPr>
          <w:rFonts w:ascii="David" w:eastAsia="David" w:hAnsi="David" w:hint="cs"/>
          <w:b/>
          <w:bCs/>
          <w:lang w:eastAsia="he-IL"/>
        </w:rPr>
        <w:t xml:space="preserve"> </w:t>
      </w:r>
      <w:r w:rsidRPr="00A41FC0">
        <w:rPr>
          <w:rFonts w:ascii="David" w:eastAsia="David" w:hAnsi="David" w:hint="cs"/>
          <w:b/>
          <w:bCs/>
          <w:rtl/>
          <w:lang w:eastAsia="he-IL"/>
        </w:rPr>
        <w:t>הבינלאומיים של</w:t>
      </w:r>
      <w:r w:rsidRPr="00A41FC0">
        <w:rPr>
          <w:rFonts w:ascii="David" w:eastAsia="David" w:hAnsi="David" w:hint="cs"/>
          <w:b/>
          <w:bCs/>
          <w:lang w:eastAsia="he-IL"/>
        </w:rPr>
        <w:t xml:space="preserve"> </w:t>
      </w:r>
      <w:r w:rsidRPr="00A41FC0">
        <w:rPr>
          <w:rFonts w:ascii="David" w:eastAsia="David" w:hAnsi="David" w:hint="cs"/>
          <w:b/>
          <w:bCs/>
          <w:rtl/>
          <w:lang w:eastAsia="he-IL"/>
        </w:rPr>
        <w:t>ישראל, להגדיר</w:t>
      </w:r>
      <w:r w:rsidRPr="00A41FC0">
        <w:rPr>
          <w:rFonts w:ascii="David" w:eastAsia="David" w:hAnsi="David" w:hint="cs"/>
          <w:b/>
          <w:bCs/>
          <w:lang w:eastAsia="he-IL"/>
        </w:rPr>
        <w:t xml:space="preserve"> </w:t>
      </w:r>
      <w:r w:rsidRPr="00A41FC0">
        <w:rPr>
          <w:rFonts w:ascii="David" w:eastAsia="David" w:hAnsi="David" w:hint="cs"/>
          <w:b/>
          <w:bCs/>
          <w:rtl/>
          <w:lang w:eastAsia="he-IL"/>
        </w:rPr>
        <w:t>את</w:t>
      </w:r>
      <w:r w:rsidRPr="00A41FC0">
        <w:rPr>
          <w:rFonts w:ascii="David" w:eastAsia="David" w:hAnsi="David" w:hint="cs"/>
          <w:b/>
          <w:bCs/>
          <w:lang w:eastAsia="he-IL"/>
        </w:rPr>
        <w:t xml:space="preserve"> </w:t>
      </w:r>
      <w:r w:rsidRPr="00A41FC0">
        <w:rPr>
          <w:rFonts w:ascii="David" w:eastAsia="David" w:hAnsi="David" w:hint="cs"/>
          <w:b/>
          <w:bCs/>
          <w:rtl/>
          <w:lang w:eastAsia="he-IL"/>
        </w:rPr>
        <w:t>המצבים שבהם</w:t>
      </w:r>
      <w:r w:rsidRPr="00A41FC0">
        <w:rPr>
          <w:rFonts w:ascii="David" w:eastAsia="David" w:hAnsi="David" w:hint="cs"/>
          <w:b/>
          <w:bCs/>
          <w:lang w:eastAsia="he-IL"/>
        </w:rPr>
        <w:t xml:space="preserve"> </w:t>
      </w:r>
      <w:r w:rsidRPr="00A41FC0">
        <w:rPr>
          <w:rFonts w:ascii="David" w:eastAsia="David" w:hAnsi="David" w:hint="cs"/>
          <w:b/>
          <w:bCs/>
          <w:rtl/>
          <w:lang w:eastAsia="he-IL"/>
        </w:rPr>
        <w:t>תסורב</w:t>
      </w:r>
      <w:r w:rsidRPr="00A41FC0">
        <w:rPr>
          <w:rFonts w:ascii="David" w:eastAsia="David" w:hAnsi="David" w:hint="cs"/>
          <w:b/>
          <w:bCs/>
          <w:lang w:eastAsia="he-IL"/>
        </w:rPr>
        <w:t xml:space="preserve"> </w:t>
      </w:r>
      <w:r w:rsidRPr="00A41FC0">
        <w:rPr>
          <w:rFonts w:ascii="David" w:eastAsia="David" w:hAnsi="David" w:hint="cs"/>
          <w:b/>
          <w:bCs/>
          <w:rtl/>
          <w:lang w:eastAsia="he-IL"/>
        </w:rPr>
        <w:t>כניסתם</w:t>
      </w:r>
      <w:r w:rsidRPr="00A41FC0">
        <w:rPr>
          <w:rFonts w:ascii="David" w:eastAsia="David" w:hAnsi="David" w:hint="cs"/>
          <w:b/>
          <w:bCs/>
          <w:lang w:eastAsia="he-IL"/>
        </w:rPr>
        <w:t xml:space="preserve"> </w:t>
      </w:r>
      <w:r w:rsidRPr="00A41FC0">
        <w:rPr>
          <w:rFonts w:ascii="David" w:eastAsia="David" w:hAnsi="David" w:hint="cs"/>
          <w:b/>
          <w:bCs/>
          <w:rtl/>
          <w:lang w:eastAsia="he-IL"/>
        </w:rPr>
        <w:t>של</w:t>
      </w:r>
      <w:r w:rsidRPr="00A41FC0">
        <w:rPr>
          <w:rFonts w:ascii="David" w:eastAsia="David" w:hAnsi="David" w:hint="cs"/>
          <w:b/>
          <w:bCs/>
          <w:lang w:eastAsia="he-IL"/>
        </w:rPr>
        <w:t xml:space="preserve"> </w:t>
      </w:r>
      <w:r w:rsidRPr="00A41FC0">
        <w:rPr>
          <w:rFonts w:ascii="David" w:eastAsia="David" w:hAnsi="David" w:hint="cs"/>
          <w:b/>
          <w:bCs/>
          <w:rtl/>
          <w:lang w:eastAsia="he-IL"/>
        </w:rPr>
        <w:t>העוברים</w:t>
      </w:r>
      <w:r w:rsidRPr="00A41FC0">
        <w:rPr>
          <w:rFonts w:ascii="David" w:eastAsia="David" w:hAnsi="David" w:hint="cs"/>
          <w:b/>
          <w:bCs/>
          <w:lang w:eastAsia="he-IL"/>
        </w:rPr>
        <w:t xml:space="preserve"> </w:t>
      </w:r>
      <w:r w:rsidRPr="00A41FC0">
        <w:rPr>
          <w:rFonts w:ascii="David" w:eastAsia="David" w:hAnsi="David" w:hint="cs"/>
          <w:b/>
          <w:bCs/>
          <w:rtl/>
          <w:lang w:eastAsia="he-IL"/>
        </w:rPr>
        <w:t>שהם אינם</w:t>
      </w:r>
      <w:r w:rsidRPr="00A41FC0">
        <w:rPr>
          <w:rFonts w:ascii="David" w:eastAsia="David" w:hAnsi="David" w:hint="cs"/>
          <w:b/>
          <w:bCs/>
          <w:lang w:eastAsia="he-IL"/>
        </w:rPr>
        <w:t xml:space="preserve"> </w:t>
      </w:r>
      <w:r w:rsidRPr="00A41FC0">
        <w:rPr>
          <w:rFonts w:ascii="David" w:eastAsia="David" w:hAnsi="David" w:hint="cs"/>
          <w:b/>
          <w:bCs/>
          <w:rtl/>
          <w:lang w:eastAsia="he-IL"/>
        </w:rPr>
        <w:t>אזרחים</w:t>
      </w:r>
      <w:r w:rsidRPr="00A41FC0">
        <w:rPr>
          <w:rFonts w:ascii="David" w:eastAsia="David" w:hAnsi="David" w:hint="cs"/>
          <w:b/>
          <w:bCs/>
          <w:lang w:eastAsia="he-IL"/>
        </w:rPr>
        <w:t xml:space="preserve"> </w:t>
      </w:r>
      <w:r w:rsidRPr="00A41FC0">
        <w:rPr>
          <w:rFonts w:ascii="David" w:eastAsia="David" w:hAnsi="David" w:hint="cs"/>
          <w:b/>
          <w:bCs/>
          <w:rtl/>
          <w:lang w:eastAsia="he-IL"/>
        </w:rPr>
        <w:t>ישראלים, ואשר</w:t>
      </w:r>
      <w:r w:rsidRPr="00A41FC0">
        <w:rPr>
          <w:rFonts w:ascii="David" w:eastAsia="David" w:hAnsi="David" w:hint="cs"/>
          <w:b/>
          <w:bCs/>
          <w:lang w:eastAsia="he-IL"/>
        </w:rPr>
        <w:t xml:space="preserve"> </w:t>
      </w:r>
      <w:r w:rsidRPr="00A41FC0">
        <w:rPr>
          <w:rFonts w:ascii="David" w:eastAsia="David" w:hAnsi="David" w:hint="cs"/>
          <w:b/>
          <w:bCs/>
          <w:rtl/>
          <w:lang w:eastAsia="he-IL"/>
        </w:rPr>
        <w:t>אינם</w:t>
      </w:r>
      <w:r w:rsidRPr="00A41FC0">
        <w:rPr>
          <w:rFonts w:ascii="David" w:eastAsia="David" w:hAnsi="David" w:hint="cs"/>
          <w:b/>
          <w:bCs/>
          <w:lang w:eastAsia="he-IL"/>
        </w:rPr>
        <w:t xml:space="preserve"> </w:t>
      </w:r>
      <w:r w:rsidRPr="00A41FC0">
        <w:rPr>
          <w:rFonts w:ascii="David" w:eastAsia="David" w:hAnsi="David" w:hint="cs"/>
          <w:b/>
          <w:bCs/>
          <w:rtl/>
          <w:lang w:eastAsia="he-IL"/>
        </w:rPr>
        <w:t>בעלי</w:t>
      </w:r>
      <w:r w:rsidRPr="00A41FC0">
        <w:rPr>
          <w:rFonts w:ascii="David" w:eastAsia="David" w:hAnsi="David" w:hint="cs"/>
          <w:b/>
          <w:bCs/>
          <w:lang w:eastAsia="he-IL"/>
        </w:rPr>
        <w:t xml:space="preserve"> </w:t>
      </w:r>
      <w:r w:rsidRPr="00A41FC0">
        <w:rPr>
          <w:rFonts w:ascii="David" w:eastAsia="David" w:hAnsi="David" w:hint="cs"/>
          <w:b/>
          <w:bCs/>
          <w:rtl/>
          <w:lang w:eastAsia="he-IL"/>
        </w:rPr>
        <w:t>אשרת</w:t>
      </w:r>
      <w:r w:rsidRPr="00A41FC0">
        <w:rPr>
          <w:rFonts w:ascii="David" w:eastAsia="David" w:hAnsi="David" w:hint="cs"/>
          <w:b/>
          <w:bCs/>
          <w:lang w:eastAsia="he-IL"/>
        </w:rPr>
        <w:t xml:space="preserve"> </w:t>
      </w:r>
      <w:r w:rsidRPr="00A41FC0">
        <w:rPr>
          <w:rFonts w:ascii="David" w:eastAsia="David" w:hAnsi="David" w:hint="cs"/>
          <w:b/>
          <w:bCs/>
          <w:rtl/>
          <w:lang w:eastAsia="he-IL"/>
        </w:rPr>
        <w:t>עולה</w:t>
      </w:r>
      <w:r w:rsidRPr="00A41FC0">
        <w:rPr>
          <w:rFonts w:ascii="David" w:eastAsia="David" w:hAnsi="David" w:hint="cs"/>
          <w:b/>
          <w:bCs/>
          <w:lang w:eastAsia="he-IL"/>
        </w:rPr>
        <w:t xml:space="preserve"> </w:t>
      </w:r>
      <w:r w:rsidRPr="00A41FC0">
        <w:rPr>
          <w:rFonts w:ascii="David" w:eastAsia="David" w:hAnsi="David" w:hint="cs"/>
          <w:b/>
          <w:bCs/>
          <w:rtl/>
          <w:lang w:eastAsia="he-IL"/>
        </w:rPr>
        <w:t>במעברי</w:t>
      </w:r>
      <w:r w:rsidRPr="00A41FC0">
        <w:rPr>
          <w:rFonts w:ascii="David" w:eastAsia="David" w:hAnsi="David" w:hint="cs"/>
          <w:b/>
          <w:bCs/>
          <w:lang w:eastAsia="he-IL"/>
        </w:rPr>
        <w:t xml:space="preserve"> </w:t>
      </w:r>
      <w:r w:rsidRPr="00A41FC0">
        <w:rPr>
          <w:rFonts w:ascii="David" w:eastAsia="David" w:hAnsi="David" w:hint="cs"/>
          <w:b/>
          <w:bCs/>
          <w:rtl/>
          <w:lang w:eastAsia="he-IL"/>
        </w:rPr>
        <w:t>הגבול ולהסדיר</w:t>
      </w:r>
      <w:r w:rsidRPr="00A41FC0">
        <w:rPr>
          <w:rFonts w:ascii="David" w:eastAsia="David" w:hAnsi="David" w:hint="cs"/>
          <w:b/>
          <w:bCs/>
          <w:lang w:eastAsia="he-IL"/>
        </w:rPr>
        <w:t xml:space="preserve"> </w:t>
      </w:r>
      <w:r w:rsidRPr="00A41FC0">
        <w:rPr>
          <w:rFonts w:ascii="David" w:eastAsia="David" w:hAnsi="David" w:hint="cs"/>
          <w:b/>
          <w:bCs/>
          <w:rtl/>
          <w:lang w:eastAsia="he-IL"/>
        </w:rPr>
        <w:t>את</w:t>
      </w:r>
      <w:r w:rsidRPr="00A41FC0">
        <w:rPr>
          <w:rFonts w:ascii="David" w:eastAsia="David" w:hAnsi="David" w:hint="cs"/>
          <w:b/>
          <w:bCs/>
          <w:lang w:eastAsia="he-IL"/>
        </w:rPr>
        <w:t xml:space="preserve"> </w:t>
      </w:r>
      <w:r w:rsidRPr="00A41FC0">
        <w:rPr>
          <w:rFonts w:ascii="David" w:eastAsia="David" w:hAnsi="David" w:hint="cs"/>
          <w:b/>
          <w:bCs/>
          <w:rtl/>
          <w:lang w:eastAsia="he-IL"/>
        </w:rPr>
        <w:t>האופן</w:t>
      </w:r>
      <w:r w:rsidRPr="00A41FC0">
        <w:rPr>
          <w:rFonts w:ascii="David" w:eastAsia="David" w:hAnsi="David" w:hint="cs"/>
          <w:b/>
          <w:bCs/>
          <w:lang w:eastAsia="he-IL"/>
        </w:rPr>
        <w:t xml:space="preserve"> </w:t>
      </w:r>
      <w:r w:rsidRPr="00A41FC0">
        <w:rPr>
          <w:rFonts w:ascii="David" w:eastAsia="David" w:hAnsi="David" w:hint="cs"/>
          <w:b/>
          <w:bCs/>
          <w:rtl/>
          <w:lang w:eastAsia="he-IL"/>
        </w:rPr>
        <w:t>שבו</w:t>
      </w:r>
      <w:r w:rsidRPr="00A41FC0">
        <w:rPr>
          <w:rFonts w:ascii="David" w:eastAsia="David" w:hAnsi="David" w:hint="cs"/>
          <w:b/>
          <w:bCs/>
          <w:lang w:eastAsia="he-IL"/>
        </w:rPr>
        <w:t xml:space="preserve"> </w:t>
      </w:r>
      <w:r w:rsidRPr="00A41FC0">
        <w:rPr>
          <w:rFonts w:ascii="David" w:eastAsia="David" w:hAnsi="David" w:hint="cs"/>
          <w:b/>
          <w:bCs/>
          <w:rtl/>
          <w:lang w:eastAsia="he-IL"/>
        </w:rPr>
        <w:t>יבוצע</w:t>
      </w:r>
      <w:r w:rsidRPr="00A41FC0">
        <w:rPr>
          <w:rFonts w:ascii="David" w:eastAsia="David" w:hAnsi="David" w:hint="cs"/>
          <w:b/>
          <w:bCs/>
          <w:lang w:eastAsia="he-IL"/>
        </w:rPr>
        <w:t xml:space="preserve"> </w:t>
      </w:r>
      <w:r w:rsidRPr="00A41FC0">
        <w:rPr>
          <w:rFonts w:ascii="David" w:eastAsia="David" w:hAnsi="David" w:hint="cs"/>
          <w:b/>
          <w:bCs/>
          <w:rtl/>
          <w:lang w:eastAsia="he-IL"/>
        </w:rPr>
        <w:t>הליך</w:t>
      </w:r>
      <w:r w:rsidRPr="00A41FC0">
        <w:rPr>
          <w:rFonts w:ascii="David" w:eastAsia="David" w:hAnsi="David" w:hint="cs"/>
          <w:b/>
          <w:bCs/>
          <w:lang w:eastAsia="he-IL"/>
        </w:rPr>
        <w:t xml:space="preserve"> </w:t>
      </w:r>
      <w:r w:rsidRPr="00A41FC0">
        <w:rPr>
          <w:rFonts w:ascii="David" w:eastAsia="David" w:hAnsi="David" w:hint="cs"/>
          <w:b/>
          <w:bCs/>
          <w:rtl/>
          <w:lang w:eastAsia="he-IL"/>
        </w:rPr>
        <w:t>הסירוב</w:t>
      </w:r>
      <w:r w:rsidRPr="00A41FC0">
        <w:rPr>
          <w:rFonts w:ascii="David" w:eastAsia="David" w:hAnsi="David"/>
          <w:b/>
          <w:bCs/>
          <w:lang w:eastAsia="he-IL"/>
        </w:rPr>
        <w:t>.</w:t>
      </w:r>
      <w:r w:rsidRPr="00A41FC0">
        <w:rPr>
          <w:rFonts w:ascii="David" w:eastAsia="David" w:hAnsi="David" w:hint="cs"/>
          <w:b/>
          <w:bCs/>
          <w:noProof w:val="0"/>
          <w:rtl/>
          <w:lang w:eastAsia="he-IL"/>
        </w:rPr>
        <w:t>"</w:t>
      </w:r>
    </w:p>
    <w:p w:rsidR="00A4386B" w:rsidRDefault="00A4386B" w:rsidP="00A4386B">
      <w:pPr>
        <w:tabs>
          <w:tab w:val="left" w:pos="793"/>
        </w:tabs>
        <w:spacing w:before="240" w:line="360" w:lineRule="auto"/>
        <w:contextualSpacing/>
        <w:jc w:val="both"/>
        <w:rPr>
          <w:rFonts w:ascii="David" w:hAnsi="David"/>
          <w:lang w:eastAsia="he-IL"/>
        </w:rPr>
      </w:pPr>
    </w:p>
    <w:p w:rsidR="00A41FC0" w:rsidRPr="00A41FC0" w:rsidRDefault="00A41FC0" w:rsidP="00A41FC0">
      <w:pPr>
        <w:numPr>
          <w:ilvl w:val="0"/>
          <w:numId w:val="1"/>
        </w:numPr>
        <w:tabs>
          <w:tab w:val="left" w:pos="793"/>
        </w:tabs>
        <w:spacing w:before="240" w:line="360" w:lineRule="auto"/>
        <w:contextualSpacing/>
        <w:jc w:val="both"/>
        <w:rPr>
          <w:rFonts w:ascii="David" w:hAnsi="David"/>
          <w:rtl/>
          <w:lang w:eastAsia="he-IL"/>
        </w:rPr>
      </w:pPr>
      <w:r w:rsidRPr="00A41FC0">
        <w:rPr>
          <w:rFonts w:ascii="David" w:hAnsi="David"/>
          <w:rtl/>
          <w:lang w:eastAsia="he-IL"/>
        </w:rPr>
        <w:lastRenderedPageBreak/>
        <w:t xml:space="preserve">סעיף ה' לנוהל 6.4.0010 מגדיר באופן מפורט מאד את הליך הטיפול בבקשה להכנס לישראל, ומסמיך את בקרי הגבול ובעלי התפקידים ונציגי רשות אחרים, לבצע פעולות מגוונות במסגרת בדיקת בקשת אדם זר שאינו אזרח ישראלי להיכנס לארץ, לרבות זיהוי, תשאול, בירור ותיעוד במערכת הממוחשבת, ואיסוף נתונים רבים הנדרשים כדי לקבל את ההחלטה אם להתיר או לסרב את הכניסה המתבקשת. </w:t>
      </w:r>
    </w:p>
    <w:p w:rsidR="00A41FC0" w:rsidRPr="00A41FC0" w:rsidRDefault="00A41FC0" w:rsidP="00A41FC0">
      <w:pPr>
        <w:tabs>
          <w:tab w:val="left" w:pos="793"/>
        </w:tabs>
        <w:spacing w:line="360" w:lineRule="auto"/>
        <w:contextualSpacing/>
        <w:jc w:val="both"/>
        <w:rPr>
          <w:rFonts w:ascii="David" w:hAnsi="David"/>
          <w:rtl/>
          <w:lang w:eastAsia="he-IL"/>
        </w:rPr>
      </w:pPr>
    </w:p>
    <w:p w:rsidR="00A41FC0" w:rsidRPr="00A41FC0" w:rsidRDefault="00A41FC0" w:rsidP="00A41FC0">
      <w:pPr>
        <w:numPr>
          <w:ilvl w:val="0"/>
          <w:numId w:val="1"/>
        </w:numPr>
        <w:tabs>
          <w:tab w:val="left" w:pos="793"/>
        </w:tabs>
        <w:spacing w:before="240" w:line="360" w:lineRule="auto"/>
        <w:contextualSpacing/>
        <w:jc w:val="both"/>
        <w:rPr>
          <w:rFonts w:ascii="David" w:hAnsi="David"/>
          <w:rtl/>
          <w:lang w:eastAsia="he-IL"/>
        </w:rPr>
      </w:pPr>
      <w:r w:rsidRPr="00A41FC0">
        <w:rPr>
          <w:rFonts w:ascii="David" w:hAnsi="David"/>
          <w:rtl/>
          <w:lang w:eastAsia="he-IL"/>
        </w:rPr>
        <w:t>סעיף ה.9 לנוהל 6.4.0010 מתאר בהרחבה את גדרי הבדיקה הנערכת בעמדת הקו האחורי, במקרים שבהם בקר הגבול אינו מנפיק את אישור המעבר, כי הוא סבור שנדרש בירור נוסף בעניינו של האדם הזר המבקש להיכנס לישראל:</w:t>
      </w:r>
    </w:p>
    <w:p w:rsidR="00A41FC0" w:rsidRPr="00A41FC0" w:rsidRDefault="00A41FC0" w:rsidP="00A41FC0">
      <w:pPr>
        <w:ind w:left="567" w:right="567"/>
        <w:jc w:val="both"/>
        <w:rPr>
          <w:rFonts w:ascii="David" w:eastAsia="David" w:hAnsi="David"/>
          <w:b/>
          <w:bCs/>
          <w:rtl/>
          <w:lang w:eastAsia="he-IL"/>
        </w:rPr>
      </w:pPr>
      <w:r w:rsidRPr="00A41FC0">
        <w:rPr>
          <w:rFonts w:ascii="David" w:eastAsia="David" w:hAnsi="David" w:hint="cs"/>
          <w:b/>
          <w:bCs/>
          <w:rtl/>
          <w:lang w:eastAsia="he-IL"/>
        </w:rPr>
        <w:t>"בעמדת</w:t>
      </w:r>
      <w:r w:rsidRPr="00A41FC0">
        <w:rPr>
          <w:rFonts w:ascii="David" w:eastAsia="David" w:hAnsi="David" w:hint="cs"/>
          <w:b/>
          <w:bCs/>
          <w:lang w:eastAsia="he-IL"/>
        </w:rPr>
        <w:t xml:space="preserve"> </w:t>
      </w:r>
      <w:r w:rsidRPr="00A41FC0">
        <w:rPr>
          <w:rFonts w:ascii="David" w:eastAsia="David" w:hAnsi="David" w:hint="cs"/>
          <w:b/>
          <w:bCs/>
          <w:rtl/>
          <w:lang w:eastAsia="he-IL"/>
        </w:rPr>
        <w:t>הקו</w:t>
      </w:r>
      <w:r w:rsidRPr="00A41FC0">
        <w:rPr>
          <w:rFonts w:ascii="David" w:eastAsia="David" w:hAnsi="David" w:hint="cs"/>
          <w:b/>
          <w:bCs/>
          <w:lang w:eastAsia="he-IL"/>
        </w:rPr>
        <w:t xml:space="preserve"> </w:t>
      </w:r>
      <w:r w:rsidRPr="00A41FC0">
        <w:rPr>
          <w:rFonts w:ascii="David" w:eastAsia="David" w:hAnsi="David" w:hint="cs"/>
          <w:b/>
          <w:bCs/>
          <w:rtl/>
          <w:lang w:eastAsia="he-IL"/>
        </w:rPr>
        <w:t>האחורי</w:t>
      </w:r>
      <w:r w:rsidRPr="00A41FC0">
        <w:rPr>
          <w:rFonts w:ascii="David" w:eastAsia="David" w:hAnsi="David" w:hint="cs"/>
          <w:b/>
          <w:bCs/>
          <w:lang w:eastAsia="he-IL"/>
        </w:rPr>
        <w:t xml:space="preserve"> </w:t>
      </w:r>
      <w:r w:rsidRPr="00A41FC0">
        <w:rPr>
          <w:rFonts w:ascii="David" w:eastAsia="David" w:hAnsi="David" w:hint="cs"/>
          <w:b/>
          <w:bCs/>
          <w:rtl/>
          <w:lang w:eastAsia="he-IL"/>
        </w:rPr>
        <w:t>יתושאל</w:t>
      </w:r>
      <w:r w:rsidRPr="00A41FC0">
        <w:rPr>
          <w:rFonts w:ascii="David" w:eastAsia="David" w:hAnsi="David" w:hint="cs"/>
          <w:b/>
          <w:bCs/>
          <w:lang w:eastAsia="he-IL"/>
        </w:rPr>
        <w:t xml:space="preserve"> </w:t>
      </w:r>
      <w:r w:rsidRPr="00A41FC0">
        <w:rPr>
          <w:rFonts w:ascii="David" w:eastAsia="David" w:hAnsi="David" w:hint="cs"/>
          <w:b/>
          <w:bCs/>
          <w:rtl/>
          <w:lang w:eastAsia="he-IL"/>
        </w:rPr>
        <w:t>העובר</w:t>
      </w:r>
      <w:r w:rsidRPr="00A41FC0">
        <w:rPr>
          <w:rFonts w:ascii="David" w:eastAsia="David" w:hAnsi="David" w:hint="cs"/>
          <w:b/>
          <w:bCs/>
          <w:lang w:eastAsia="he-IL"/>
        </w:rPr>
        <w:t xml:space="preserve"> </w:t>
      </w:r>
      <w:r w:rsidRPr="00A41FC0">
        <w:rPr>
          <w:rFonts w:ascii="David" w:eastAsia="David" w:hAnsi="David" w:hint="cs"/>
          <w:b/>
          <w:bCs/>
          <w:rtl/>
          <w:lang w:eastAsia="he-IL"/>
        </w:rPr>
        <w:t>על</w:t>
      </w:r>
      <w:r w:rsidRPr="00A41FC0">
        <w:rPr>
          <w:rFonts w:ascii="David" w:eastAsia="David" w:hAnsi="David" w:hint="cs"/>
          <w:b/>
          <w:bCs/>
          <w:lang w:eastAsia="he-IL"/>
        </w:rPr>
        <w:t xml:space="preserve"> </w:t>
      </w:r>
      <w:r w:rsidRPr="00A41FC0">
        <w:rPr>
          <w:rFonts w:ascii="David" w:eastAsia="David" w:hAnsi="David" w:hint="cs"/>
          <w:b/>
          <w:bCs/>
          <w:rtl/>
          <w:lang w:eastAsia="he-IL"/>
        </w:rPr>
        <w:t>ידי</w:t>
      </w:r>
      <w:r w:rsidRPr="00A41FC0">
        <w:rPr>
          <w:rFonts w:ascii="David" w:eastAsia="David" w:hAnsi="David" w:hint="cs"/>
          <w:b/>
          <w:bCs/>
          <w:lang w:eastAsia="he-IL"/>
        </w:rPr>
        <w:t xml:space="preserve"> </w:t>
      </w:r>
      <w:r w:rsidRPr="00A41FC0">
        <w:rPr>
          <w:rFonts w:ascii="David" w:eastAsia="David" w:hAnsi="David" w:hint="cs"/>
          <w:b/>
          <w:bCs/>
          <w:rtl/>
          <w:lang w:eastAsia="he-IL"/>
        </w:rPr>
        <w:t>נציגי</w:t>
      </w:r>
      <w:r w:rsidRPr="00A41FC0">
        <w:rPr>
          <w:rFonts w:ascii="David" w:eastAsia="David" w:hAnsi="David" w:hint="cs"/>
          <w:b/>
          <w:bCs/>
          <w:lang w:eastAsia="he-IL"/>
        </w:rPr>
        <w:t xml:space="preserve"> </w:t>
      </w:r>
      <w:r w:rsidRPr="00A41FC0">
        <w:rPr>
          <w:rFonts w:ascii="David" w:eastAsia="David" w:hAnsi="David" w:hint="cs"/>
          <w:b/>
          <w:bCs/>
          <w:rtl/>
          <w:lang w:eastAsia="he-IL"/>
        </w:rPr>
        <w:t>רשות</w:t>
      </w:r>
      <w:r w:rsidRPr="00A41FC0">
        <w:rPr>
          <w:rFonts w:ascii="David" w:eastAsia="David" w:hAnsi="David" w:hint="cs"/>
          <w:b/>
          <w:bCs/>
          <w:lang w:eastAsia="he-IL"/>
        </w:rPr>
        <w:t xml:space="preserve"> </w:t>
      </w:r>
      <w:r w:rsidRPr="00A41FC0">
        <w:rPr>
          <w:rFonts w:ascii="David" w:eastAsia="David" w:hAnsi="David" w:hint="cs"/>
          <w:b/>
          <w:bCs/>
          <w:rtl/>
          <w:lang w:eastAsia="he-IL"/>
        </w:rPr>
        <w:t>האוכלוסין וההגירה, ותיבדק</w:t>
      </w:r>
      <w:r w:rsidRPr="00A41FC0">
        <w:rPr>
          <w:rFonts w:ascii="David" w:eastAsia="David" w:hAnsi="David" w:hint="cs"/>
          <w:b/>
          <w:bCs/>
          <w:lang w:eastAsia="he-IL"/>
        </w:rPr>
        <w:t xml:space="preserve"> </w:t>
      </w:r>
      <w:r w:rsidRPr="00A41FC0">
        <w:rPr>
          <w:rFonts w:ascii="David" w:eastAsia="David" w:hAnsi="David" w:hint="cs"/>
          <w:b/>
          <w:bCs/>
          <w:rtl/>
          <w:lang w:eastAsia="he-IL"/>
        </w:rPr>
        <w:t>מטרת</w:t>
      </w:r>
      <w:r w:rsidRPr="00A41FC0">
        <w:rPr>
          <w:rFonts w:ascii="David" w:eastAsia="David" w:hAnsi="David" w:hint="cs"/>
          <w:b/>
          <w:bCs/>
          <w:lang w:eastAsia="he-IL"/>
        </w:rPr>
        <w:t xml:space="preserve"> </w:t>
      </w:r>
      <w:r w:rsidRPr="00A41FC0">
        <w:rPr>
          <w:rFonts w:ascii="David" w:eastAsia="David" w:hAnsi="David" w:hint="cs"/>
          <w:b/>
          <w:bCs/>
          <w:rtl/>
          <w:lang w:eastAsia="he-IL"/>
        </w:rPr>
        <w:t>הגעתו</w:t>
      </w:r>
      <w:r w:rsidRPr="00A41FC0">
        <w:rPr>
          <w:rFonts w:ascii="David" w:eastAsia="David" w:hAnsi="David" w:hint="cs"/>
          <w:b/>
          <w:bCs/>
          <w:lang w:eastAsia="he-IL"/>
        </w:rPr>
        <w:t xml:space="preserve"> </w:t>
      </w:r>
      <w:r w:rsidRPr="00A41FC0">
        <w:rPr>
          <w:rFonts w:ascii="David" w:eastAsia="David" w:hAnsi="David" w:hint="cs"/>
          <w:b/>
          <w:bCs/>
          <w:rtl/>
          <w:lang w:eastAsia="he-IL"/>
        </w:rPr>
        <w:t>לישראל. בין</w:t>
      </w:r>
      <w:r w:rsidRPr="00A41FC0">
        <w:rPr>
          <w:rFonts w:ascii="David" w:eastAsia="David" w:hAnsi="David" w:hint="cs"/>
          <w:b/>
          <w:bCs/>
          <w:lang w:eastAsia="he-IL"/>
        </w:rPr>
        <w:t xml:space="preserve"> </w:t>
      </w:r>
      <w:r w:rsidRPr="00A41FC0">
        <w:rPr>
          <w:rFonts w:ascii="David" w:eastAsia="David" w:hAnsi="David" w:hint="cs"/>
          <w:b/>
          <w:bCs/>
          <w:rtl/>
          <w:lang w:eastAsia="he-IL"/>
        </w:rPr>
        <w:t>היתר</w:t>
      </w:r>
      <w:r w:rsidRPr="00A41FC0">
        <w:rPr>
          <w:rFonts w:ascii="David" w:eastAsia="David" w:hAnsi="David" w:hint="cs"/>
          <w:b/>
          <w:bCs/>
          <w:lang w:eastAsia="he-IL"/>
        </w:rPr>
        <w:t xml:space="preserve"> </w:t>
      </w:r>
      <w:r w:rsidRPr="00A41FC0">
        <w:rPr>
          <w:rFonts w:ascii="David" w:eastAsia="David" w:hAnsi="David" w:hint="cs"/>
          <w:b/>
          <w:bCs/>
          <w:rtl/>
          <w:lang w:eastAsia="he-IL"/>
        </w:rPr>
        <w:t>יש</w:t>
      </w:r>
      <w:r w:rsidRPr="00A41FC0">
        <w:rPr>
          <w:rFonts w:ascii="David" w:eastAsia="David" w:hAnsi="David" w:hint="cs"/>
          <w:b/>
          <w:bCs/>
          <w:lang w:eastAsia="he-IL"/>
        </w:rPr>
        <w:t xml:space="preserve"> </w:t>
      </w:r>
      <w:r w:rsidRPr="00A41FC0">
        <w:rPr>
          <w:rFonts w:ascii="David" w:eastAsia="David" w:hAnsi="David" w:hint="cs"/>
          <w:b/>
          <w:bCs/>
          <w:rtl/>
          <w:lang w:eastAsia="he-IL"/>
        </w:rPr>
        <w:t>לבדוק</w:t>
      </w:r>
      <w:r w:rsidRPr="00A41FC0">
        <w:rPr>
          <w:rFonts w:ascii="David" w:eastAsia="David" w:hAnsi="David" w:hint="cs"/>
          <w:b/>
          <w:bCs/>
          <w:lang w:eastAsia="he-IL"/>
        </w:rPr>
        <w:t xml:space="preserve"> </w:t>
      </w:r>
      <w:r w:rsidRPr="00A41FC0">
        <w:rPr>
          <w:rFonts w:ascii="David" w:eastAsia="David" w:hAnsi="David" w:hint="cs"/>
          <w:b/>
          <w:bCs/>
          <w:rtl/>
          <w:lang w:eastAsia="he-IL"/>
        </w:rPr>
        <w:t>כניסות קודמות, משך</w:t>
      </w:r>
      <w:r w:rsidRPr="00A41FC0">
        <w:rPr>
          <w:rFonts w:ascii="David" w:eastAsia="David" w:hAnsi="David" w:hint="cs"/>
          <w:b/>
          <w:bCs/>
          <w:lang w:eastAsia="he-IL"/>
        </w:rPr>
        <w:t xml:space="preserve"> </w:t>
      </w:r>
      <w:r w:rsidRPr="00A41FC0">
        <w:rPr>
          <w:rFonts w:ascii="David" w:eastAsia="David" w:hAnsi="David" w:hint="cs"/>
          <w:b/>
          <w:bCs/>
          <w:rtl/>
          <w:lang w:eastAsia="he-IL"/>
        </w:rPr>
        <w:t>שהיות</w:t>
      </w:r>
      <w:r w:rsidRPr="00A41FC0">
        <w:rPr>
          <w:rFonts w:ascii="David" w:eastAsia="David" w:hAnsi="David" w:hint="cs"/>
          <w:b/>
          <w:bCs/>
          <w:lang w:eastAsia="he-IL"/>
        </w:rPr>
        <w:t xml:space="preserve"> </w:t>
      </w:r>
      <w:r w:rsidRPr="00A41FC0">
        <w:rPr>
          <w:rFonts w:ascii="David" w:eastAsia="David" w:hAnsi="David" w:hint="cs"/>
          <w:b/>
          <w:bCs/>
          <w:rtl/>
          <w:lang w:eastAsia="he-IL"/>
        </w:rPr>
        <w:t>קודמות</w:t>
      </w:r>
      <w:r w:rsidRPr="00A41FC0">
        <w:rPr>
          <w:rFonts w:ascii="David" w:eastAsia="David" w:hAnsi="David" w:hint="cs"/>
          <w:b/>
          <w:bCs/>
          <w:lang w:eastAsia="he-IL"/>
        </w:rPr>
        <w:t xml:space="preserve"> </w:t>
      </w:r>
      <w:r w:rsidRPr="00A41FC0">
        <w:rPr>
          <w:rFonts w:ascii="David" w:eastAsia="David" w:hAnsi="David" w:hint="cs"/>
          <w:b/>
          <w:bCs/>
          <w:rtl/>
          <w:lang w:eastAsia="he-IL"/>
        </w:rPr>
        <w:t>בישראל, חוקיות</w:t>
      </w:r>
      <w:r w:rsidRPr="00A41FC0">
        <w:rPr>
          <w:rFonts w:ascii="David" w:eastAsia="David" w:hAnsi="David" w:hint="cs"/>
          <w:b/>
          <w:bCs/>
          <w:lang w:eastAsia="he-IL"/>
        </w:rPr>
        <w:t xml:space="preserve"> </w:t>
      </w:r>
      <w:r w:rsidRPr="00A41FC0">
        <w:rPr>
          <w:rFonts w:ascii="David" w:eastAsia="David" w:hAnsi="David" w:hint="cs"/>
          <w:b/>
          <w:bCs/>
          <w:rtl/>
          <w:lang w:eastAsia="he-IL"/>
        </w:rPr>
        <w:t>שהיות</w:t>
      </w:r>
      <w:r w:rsidRPr="00A41FC0">
        <w:rPr>
          <w:rFonts w:ascii="David" w:eastAsia="David" w:hAnsi="David" w:hint="cs"/>
          <w:b/>
          <w:bCs/>
          <w:lang w:eastAsia="he-IL"/>
        </w:rPr>
        <w:t xml:space="preserve"> </w:t>
      </w:r>
      <w:r w:rsidRPr="00A41FC0">
        <w:rPr>
          <w:rFonts w:ascii="David" w:eastAsia="David" w:hAnsi="David" w:hint="cs"/>
          <w:b/>
          <w:bCs/>
          <w:rtl/>
          <w:lang w:eastAsia="he-IL"/>
        </w:rPr>
        <w:t>קודמות, היעדר הכללות, בקשות</w:t>
      </w:r>
      <w:r w:rsidRPr="00A41FC0">
        <w:rPr>
          <w:rFonts w:ascii="David" w:eastAsia="David" w:hAnsi="David" w:hint="cs"/>
          <w:b/>
          <w:bCs/>
          <w:lang w:eastAsia="he-IL"/>
        </w:rPr>
        <w:t xml:space="preserve"> </w:t>
      </w:r>
      <w:r w:rsidRPr="00A41FC0">
        <w:rPr>
          <w:rFonts w:ascii="David" w:eastAsia="David" w:hAnsi="David" w:hint="cs"/>
          <w:b/>
          <w:bCs/>
          <w:rtl/>
          <w:lang w:eastAsia="he-IL"/>
        </w:rPr>
        <w:t>למעמד</w:t>
      </w:r>
      <w:r w:rsidRPr="00A41FC0">
        <w:rPr>
          <w:rFonts w:ascii="David" w:eastAsia="David" w:hAnsi="David" w:hint="cs"/>
          <w:b/>
          <w:bCs/>
          <w:lang w:eastAsia="he-IL"/>
        </w:rPr>
        <w:t xml:space="preserve"> </w:t>
      </w:r>
      <w:r w:rsidRPr="00A41FC0">
        <w:rPr>
          <w:rFonts w:ascii="David" w:eastAsia="David" w:hAnsi="David" w:hint="cs"/>
          <w:b/>
          <w:bCs/>
          <w:rtl/>
          <w:lang w:eastAsia="he-IL"/>
        </w:rPr>
        <w:t>בישראל, תשאולים</w:t>
      </w:r>
      <w:r w:rsidRPr="00A41FC0">
        <w:rPr>
          <w:rFonts w:ascii="David" w:eastAsia="David" w:hAnsi="David" w:hint="cs"/>
          <w:b/>
          <w:bCs/>
          <w:lang w:eastAsia="he-IL"/>
        </w:rPr>
        <w:t xml:space="preserve"> </w:t>
      </w:r>
      <w:r w:rsidRPr="00A41FC0">
        <w:rPr>
          <w:rFonts w:ascii="David" w:eastAsia="David" w:hAnsi="David" w:hint="cs"/>
          <w:b/>
          <w:bCs/>
          <w:rtl/>
          <w:lang w:eastAsia="he-IL"/>
        </w:rPr>
        <w:t>קודמים</w:t>
      </w:r>
      <w:r w:rsidRPr="00A41FC0">
        <w:rPr>
          <w:rFonts w:ascii="David" w:eastAsia="David" w:hAnsi="David" w:hint="cs"/>
          <w:b/>
          <w:bCs/>
          <w:lang w:eastAsia="he-IL"/>
        </w:rPr>
        <w:t xml:space="preserve"> </w:t>
      </w:r>
      <w:r w:rsidRPr="00A41FC0">
        <w:rPr>
          <w:rFonts w:ascii="David" w:eastAsia="David" w:hAnsi="David" w:hint="cs"/>
          <w:b/>
          <w:bCs/>
          <w:rtl/>
          <w:lang w:eastAsia="he-IL"/>
        </w:rPr>
        <w:t>שבגינם</w:t>
      </w:r>
      <w:r w:rsidRPr="00A41FC0">
        <w:rPr>
          <w:rFonts w:ascii="David" w:eastAsia="David" w:hAnsi="David" w:hint="cs"/>
          <w:b/>
          <w:bCs/>
          <w:lang w:eastAsia="he-IL"/>
        </w:rPr>
        <w:t xml:space="preserve"> </w:t>
      </w:r>
      <w:r w:rsidRPr="00A41FC0">
        <w:rPr>
          <w:rFonts w:ascii="David" w:eastAsia="David" w:hAnsi="David" w:hint="cs"/>
          <w:b/>
          <w:bCs/>
          <w:rtl/>
          <w:lang w:eastAsia="he-IL"/>
        </w:rPr>
        <w:t>סורבה</w:t>
      </w:r>
      <w:r w:rsidRPr="00A41FC0">
        <w:rPr>
          <w:rFonts w:ascii="David" w:eastAsia="David" w:hAnsi="David" w:hint="cs"/>
          <w:b/>
          <w:bCs/>
          <w:lang w:eastAsia="he-IL"/>
        </w:rPr>
        <w:t xml:space="preserve"> </w:t>
      </w:r>
      <w:r w:rsidRPr="00A41FC0">
        <w:rPr>
          <w:rFonts w:ascii="David" w:eastAsia="David" w:hAnsi="David" w:hint="cs"/>
          <w:b/>
          <w:bCs/>
          <w:rtl/>
          <w:lang w:eastAsia="he-IL"/>
        </w:rPr>
        <w:t>או אושרה</w:t>
      </w:r>
      <w:r w:rsidRPr="00A41FC0">
        <w:rPr>
          <w:rFonts w:ascii="David" w:eastAsia="David" w:hAnsi="David" w:hint="cs"/>
          <w:b/>
          <w:bCs/>
          <w:lang w:eastAsia="he-IL"/>
        </w:rPr>
        <w:t xml:space="preserve"> </w:t>
      </w:r>
      <w:r w:rsidRPr="00A41FC0">
        <w:rPr>
          <w:rFonts w:ascii="David" w:eastAsia="David" w:hAnsi="David" w:hint="cs"/>
          <w:b/>
          <w:bCs/>
          <w:rtl/>
          <w:lang w:eastAsia="he-IL"/>
        </w:rPr>
        <w:t>כניסתו</w:t>
      </w:r>
      <w:r w:rsidRPr="00A41FC0">
        <w:rPr>
          <w:rFonts w:ascii="David" w:eastAsia="David" w:hAnsi="David" w:hint="cs"/>
          <w:b/>
          <w:bCs/>
          <w:lang w:eastAsia="he-IL"/>
        </w:rPr>
        <w:t xml:space="preserve"> </w:t>
      </w:r>
      <w:r w:rsidRPr="00A41FC0">
        <w:rPr>
          <w:rFonts w:ascii="David" w:eastAsia="David" w:hAnsi="David" w:hint="cs"/>
          <w:b/>
          <w:bCs/>
          <w:rtl/>
          <w:lang w:eastAsia="he-IL"/>
        </w:rPr>
        <w:t>בעבר, הימצאות</w:t>
      </w:r>
      <w:r w:rsidRPr="00A41FC0">
        <w:rPr>
          <w:rFonts w:ascii="David" w:eastAsia="David" w:hAnsi="David" w:hint="cs"/>
          <w:b/>
          <w:bCs/>
          <w:lang w:eastAsia="he-IL"/>
        </w:rPr>
        <w:t xml:space="preserve"> </w:t>
      </w:r>
      <w:r w:rsidRPr="00A41FC0">
        <w:rPr>
          <w:rFonts w:ascii="David" w:eastAsia="David" w:hAnsi="David" w:hint="cs"/>
          <w:b/>
          <w:bCs/>
          <w:rtl/>
          <w:lang w:eastAsia="he-IL"/>
        </w:rPr>
        <w:t>בני</w:t>
      </w:r>
      <w:r w:rsidRPr="00A41FC0">
        <w:rPr>
          <w:rFonts w:ascii="David" w:eastAsia="David" w:hAnsi="David" w:hint="cs"/>
          <w:b/>
          <w:bCs/>
          <w:lang w:eastAsia="he-IL"/>
        </w:rPr>
        <w:t xml:space="preserve"> </w:t>
      </w:r>
      <w:r w:rsidRPr="00A41FC0">
        <w:rPr>
          <w:rFonts w:ascii="David" w:eastAsia="David" w:hAnsi="David" w:hint="cs"/>
          <w:b/>
          <w:bCs/>
          <w:rtl/>
          <w:lang w:eastAsia="he-IL"/>
        </w:rPr>
        <w:t>משפחה או</w:t>
      </w:r>
      <w:r w:rsidRPr="00A41FC0">
        <w:rPr>
          <w:rFonts w:ascii="David" w:eastAsia="David" w:hAnsi="David" w:hint="cs"/>
          <w:b/>
          <w:bCs/>
          <w:lang w:eastAsia="he-IL"/>
        </w:rPr>
        <w:t xml:space="preserve"> </w:t>
      </w:r>
      <w:r w:rsidRPr="00A41FC0">
        <w:rPr>
          <w:rFonts w:ascii="David" w:eastAsia="David" w:hAnsi="David" w:hint="cs"/>
          <w:b/>
          <w:bCs/>
          <w:rtl/>
          <w:lang w:eastAsia="he-IL"/>
        </w:rPr>
        <w:t>אנשי</w:t>
      </w:r>
      <w:r w:rsidRPr="00A41FC0">
        <w:rPr>
          <w:rFonts w:ascii="David" w:eastAsia="David" w:hAnsi="David" w:hint="cs"/>
          <w:b/>
          <w:bCs/>
          <w:lang w:eastAsia="he-IL"/>
        </w:rPr>
        <w:t xml:space="preserve"> </w:t>
      </w:r>
      <w:r w:rsidRPr="00A41FC0">
        <w:rPr>
          <w:rFonts w:ascii="David" w:eastAsia="David" w:hAnsi="David" w:hint="cs"/>
          <w:b/>
          <w:bCs/>
          <w:rtl/>
          <w:lang w:eastAsia="he-IL"/>
        </w:rPr>
        <w:t>קשר</w:t>
      </w:r>
      <w:r w:rsidRPr="00A41FC0">
        <w:rPr>
          <w:rFonts w:ascii="David" w:eastAsia="David" w:hAnsi="David" w:hint="cs"/>
          <w:b/>
          <w:bCs/>
          <w:lang w:eastAsia="he-IL"/>
        </w:rPr>
        <w:t xml:space="preserve"> </w:t>
      </w:r>
      <w:r w:rsidRPr="00A41FC0">
        <w:rPr>
          <w:rFonts w:ascii="David" w:eastAsia="David" w:hAnsi="David" w:hint="cs"/>
          <w:b/>
          <w:bCs/>
          <w:rtl/>
          <w:lang w:eastAsia="he-IL"/>
        </w:rPr>
        <w:t>אחרים</w:t>
      </w:r>
      <w:r w:rsidRPr="00A41FC0">
        <w:rPr>
          <w:rFonts w:ascii="David" w:eastAsia="David" w:hAnsi="David" w:hint="cs"/>
          <w:b/>
          <w:bCs/>
          <w:lang w:eastAsia="he-IL"/>
        </w:rPr>
        <w:t xml:space="preserve"> </w:t>
      </w:r>
      <w:r w:rsidRPr="00A41FC0">
        <w:rPr>
          <w:rFonts w:ascii="David" w:eastAsia="David" w:hAnsi="David" w:hint="cs"/>
          <w:b/>
          <w:bCs/>
          <w:rtl/>
          <w:lang w:eastAsia="he-IL"/>
        </w:rPr>
        <w:t>בישראל וגרסתם</w:t>
      </w:r>
      <w:r w:rsidRPr="00A41FC0">
        <w:rPr>
          <w:rFonts w:ascii="David" w:eastAsia="David" w:hAnsi="David" w:hint="cs"/>
          <w:b/>
          <w:bCs/>
          <w:lang w:eastAsia="he-IL"/>
        </w:rPr>
        <w:t xml:space="preserve"> </w:t>
      </w:r>
      <w:r w:rsidRPr="00A41FC0">
        <w:rPr>
          <w:rFonts w:ascii="David" w:eastAsia="David" w:hAnsi="David" w:hint="cs"/>
          <w:b/>
          <w:bCs/>
          <w:rtl/>
          <w:lang w:eastAsia="he-IL"/>
        </w:rPr>
        <w:t>באשר</w:t>
      </w:r>
      <w:r w:rsidRPr="00A41FC0">
        <w:rPr>
          <w:rFonts w:ascii="David" w:eastAsia="David" w:hAnsi="David" w:hint="cs"/>
          <w:b/>
          <w:bCs/>
          <w:lang w:eastAsia="he-IL"/>
        </w:rPr>
        <w:t xml:space="preserve"> </w:t>
      </w:r>
      <w:r w:rsidRPr="00A41FC0">
        <w:rPr>
          <w:rFonts w:ascii="David" w:eastAsia="David" w:hAnsi="David" w:hint="cs"/>
          <w:b/>
          <w:bCs/>
          <w:rtl/>
          <w:lang w:eastAsia="he-IL"/>
        </w:rPr>
        <w:t>לנסיבות</w:t>
      </w:r>
      <w:r w:rsidRPr="00A41FC0">
        <w:rPr>
          <w:rFonts w:ascii="David" w:eastAsia="David" w:hAnsi="David" w:hint="cs"/>
          <w:b/>
          <w:bCs/>
          <w:lang w:eastAsia="he-IL"/>
        </w:rPr>
        <w:t xml:space="preserve"> </w:t>
      </w:r>
      <w:r w:rsidRPr="00A41FC0">
        <w:rPr>
          <w:rFonts w:ascii="David" w:eastAsia="David" w:hAnsi="David" w:hint="cs"/>
          <w:b/>
          <w:bCs/>
          <w:rtl/>
          <w:lang w:eastAsia="he-IL"/>
        </w:rPr>
        <w:t>בואו, אמצעי</w:t>
      </w:r>
      <w:r w:rsidRPr="00A41FC0">
        <w:rPr>
          <w:rFonts w:ascii="David" w:eastAsia="David" w:hAnsi="David" w:hint="cs"/>
          <w:b/>
          <w:bCs/>
          <w:lang w:eastAsia="he-IL"/>
        </w:rPr>
        <w:t xml:space="preserve"> </w:t>
      </w:r>
      <w:r w:rsidRPr="00A41FC0">
        <w:rPr>
          <w:rFonts w:ascii="David" w:eastAsia="David" w:hAnsi="David" w:hint="cs"/>
          <w:b/>
          <w:bCs/>
          <w:rtl/>
          <w:lang w:eastAsia="he-IL"/>
        </w:rPr>
        <w:t>מחיה</w:t>
      </w:r>
      <w:r w:rsidRPr="00A41FC0">
        <w:rPr>
          <w:rFonts w:ascii="David" w:eastAsia="David" w:hAnsi="David" w:hint="cs"/>
          <w:b/>
          <w:bCs/>
          <w:lang w:eastAsia="he-IL"/>
        </w:rPr>
        <w:t xml:space="preserve"> </w:t>
      </w:r>
      <w:r w:rsidRPr="00A41FC0">
        <w:rPr>
          <w:rFonts w:ascii="David" w:eastAsia="David" w:hAnsi="David" w:hint="cs"/>
          <w:b/>
          <w:bCs/>
          <w:rtl/>
          <w:lang w:eastAsia="he-IL"/>
        </w:rPr>
        <w:t>לתקופת</w:t>
      </w:r>
      <w:r w:rsidRPr="00A41FC0">
        <w:rPr>
          <w:rFonts w:ascii="David" w:eastAsia="David" w:hAnsi="David" w:hint="cs"/>
          <w:b/>
          <w:bCs/>
          <w:lang w:eastAsia="he-IL"/>
        </w:rPr>
        <w:t xml:space="preserve"> </w:t>
      </w:r>
      <w:r w:rsidRPr="00A41FC0">
        <w:rPr>
          <w:rFonts w:ascii="David" w:eastAsia="David" w:hAnsi="David" w:hint="cs"/>
          <w:b/>
          <w:bCs/>
          <w:rtl/>
          <w:lang w:eastAsia="he-IL"/>
        </w:rPr>
        <w:t>השהייה</w:t>
      </w:r>
      <w:r w:rsidRPr="00A41FC0">
        <w:rPr>
          <w:rFonts w:ascii="David" w:eastAsia="David" w:hAnsi="David" w:hint="cs"/>
          <w:b/>
          <w:bCs/>
          <w:lang w:eastAsia="he-IL"/>
        </w:rPr>
        <w:t xml:space="preserve"> </w:t>
      </w:r>
      <w:r w:rsidRPr="00A41FC0">
        <w:rPr>
          <w:rFonts w:ascii="David" w:eastAsia="David" w:hAnsi="David" w:hint="cs"/>
          <w:b/>
          <w:bCs/>
          <w:rtl/>
          <w:lang w:eastAsia="he-IL"/>
        </w:rPr>
        <w:t xml:space="preserve">בישראל </w:t>
      </w:r>
      <w:r w:rsidRPr="00A41FC0">
        <w:rPr>
          <w:rFonts w:ascii="David" w:eastAsia="David" w:hAnsi="David"/>
          <w:b/>
          <w:bCs/>
          <w:lang w:eastAsia="he-IL"/>
        </w:rPr>
        <w:t>)</w:t>
      </w:r>
      <w:r w:rsidRPr="00A41FC0">
        <w:rPr>
          <w:rFonts w:ascii="David" w:eastAsia="David" w:hAnsi="David" w:hint="cs"/>
          <w:b/>
          <w:bCs/>
          <w:rtl/>
          <w:lang w:eastAsia="he-IL"/>
        </w:rPr>
        <w:t>כסף</w:t>
      </w:r>
      <w:r w:rsidRPr="00A41FC0">
        <w:rPr>
          <w:rFonts w:ascii="David" w:eastAsia="David" w:hAnsi="David"/>
          <w:b/>
          <w:bCs/>
          <w:lang w:eastAsia="he-IL"/>
        </w:rPr>
        <w:t>,</w:t>
      </w:r>
      <w:r w:rsidRPr="00A41FC0">
        <w:rPr>
          <w:rFonts w:ascii="David" w:eastAsia="David" w:hAnsi="David"/>
          <w:b/>
          <w:bCs/>
          <w:rtl/>
          <w:lang w:eastAsia="he-IL"/>
        </w:rPr>
        <w:t xml:space="preserve"> </w:t>
      </w:r>
      <w:r w:rsidRPr="00A41FC0">
        <w:rPr>
          <w:rFonts w:ascii="David" w:eastAsia="David" w:hAnsi="David" w:hint="cs"/>
          <w:b/>
          <w:bCs/>
          <w:rtl/>
          <w:lang w:eastAsia="he-IL"/>
        </w:rPr>
        <w:t>כרטיס</w:t>
      </w:r>
      <w:r w:rsidRPr="00A41FC0">
        <w:rPr>
          <w:rFonts w:ascii="David" w:eastAsia="David" w:hAnsi="David" w:hint="cs"/>
          <w:b/>
          <w:bCs/>
          <w:lang w:eastAsia="he-IL"/>
        </w:rPr>
        <w:t xml:space="preserve"> </w:t>
      </w:r>
      <w:r w:rsidRPr="00A41FC0">
        <w:rPr>
          <w:rFonts w:ascii="David" w:eastAsia="David" w:hAnsi="David" w:hint="cs"/>
          <w:b/>
          <w:bCs/>
          <w:rtl/>
          <w:lang w:eastAsia="he-IL"/>
        </w:rPr>
        <w:t>אשראי, המחאות</w:t>
      </w:r>
      <w:r w:rsidRPr="00A41FC0">
        <w:rPr>
          <w:rFonts w:ascii="David" w:eastAsia="David" w:hAnsi="David" w:hint="cs"/>
          <w:b/>
          <w:bCs/>
          <w:lang w:eastAsia="he-IL"/>
        </w:rPr>
        <w:t xml:space="preserve"> </w:t>
      </w:r>
      <w:r w:rsidRPr="00A41FC0">
        <w:rPr>
          <w:rFonts w:ascii="David" w:eastAsia="David" w:hAnsi="David" w:hint="cs"/>
          <w:b/>
          <w:bCs/>
          <w:rtl/>
          <w:lang w:eastAsia="he-IL"/>
        </w:rPr>
        <w:t>נוסעים</w:t>
      </w:r>
      <w:r w:rsidRPr="00A41FC0">
        <w:rPr>
          <w:rFonts w:ascii="David" w:eastAsia="David" w:hAnsi="David" w:hint="cs"/>
          <w:b/>
          <w:bCs/>
          <w:lang w:eastAsia="he-IL"/>
        </w:rPr>
        <w:t xml:space="preserve"> </w:t>
      </w:r>
      <w:r w:rsidRPr="00A41FC0">
        <w:rPr>
          <w:rFonts w:ascii="David" w:eastAsia="David" w:hAnsi="David" w:hint="cs"/>
          <w:b/>
          <w:bCs/>
          <w:rtl/>
          <w:lang w:eastAsia="he-IL"/>
        </w:rPr>
        <w:t>וכיו"ב), ראיות</w:t>
      </w:r>
      <w:r w:rsidRPr="00A41FC0">
        <w:rPr>
          <w:rFonts w:ascii="David" w:eastAsia="David" w:hAnsi="David" w:hint="cs"/>
          <w:b/>
          <w:bCs/>
          <w:lang w:eastAsia="he-IL"/>
        </w:rPr>
        <w:t xml:space="preserve"> </w:t>
      </w:r>
      <w:r w:rsidRPr="00A41FC0">
        <w:rPr>
          <w:rFonts w:ascii="David" w:eastAsia="David" w:hAnsi="David" w:hint="cs"/>
          <w:b/>
          <w:bCs/>
          <w:rtl/>
          <w:lang w:eastAsia="he-IL"/>
        </w:rPr>
        <w:t>המעידות</w:t>
      </w:r>
      <w:r w:rsidRPr="00A41FC0">
        <w:rPr>
          <w:rFonts w:ascii="David" w:eastAsia="David" w:hAnsi="David" w:hint="cs"/>
          <w:b/>
          <w:bCs/>
          <w:lang w:eastAsia="he-IL"/>
        </w:rPr>
        <w:t xml:space="preserve"> </w:t>
      </w:r>
      <w:r w:rsidRPr="00A41FC0">
        <w:rPr>
          <w:rFonts w:ascii="David" w:eastAsia="David" w:hAnsi="David" w:hint="cs"/>
          <w:b/>
          <w:bCs/>
          <w:rtl/>
          <w:lang w:eastAsia="he-IL"/>
        </w:rPr>
        <w:t>על</w:t>
      </w:r>
      <w:r w:rsidRPr="00A41FC0">
        <w:rPr>
          <w:rFonts w:ascii="David" w:eastAsia="David" w:hAnsi="David" w:hint="cs"/>
          <w:b/>
          <w:bCs/>
          <w:lang w:eastAsia="he-IL"/>
        </w:rPr>
        <w:t xml:space="preserve"> </w:t>
      </w:r>
      <w:r w:rsidRPr="00A41FC0">
        <w:rPr>
          <w:rFonts w:ascii="David" w:eastAsia="David" w:hAnsi="David" w:hint="cs"/>
          <w:b/>
          <w:bCs/>
          <w:rtl/>
          <w:lang w:eastAsia="he-IL"/>
        </w:rPr>
        <w:t>מטרת הכניסה</w:t>
      </w:r>
      <w:r w:rsidRPr="00A41FC0">
        <w:rPr>
          <w:rFonts w:ascii="David" w:eastAsia="David" w:hAnsi="David" w:hint="cs"/>
          <w:b/>
          <w:bCs/>
          <w:lang w:eastAsia="he-IL"/>
        </w:rPr>
        <w:t xml:space="preserve"> </w:t>
      </w:r>
      <w:r w:rsidRPr="00A41FC0">
        <w:rPr>
          <w:rFonts w:ascii="David" w:eastAsia="David" w:hAnsi="David" w:hint="cs"/>
          <w:b/>
          <w:bCs/>
          <w:rtl/>
          <w:lang w:eastAsia="he-IL"/>
        </w:rPr>
        <w:t>עליה</w:t>
      </w:r>
      <w:r w:rsidRPr="00A41FC0">
        <w:rPr>
          <w:rFonts w:ascii="David" w:eastAsia="David" w:hAnsi="David" w:hint="cs"/>
          <w:b/>
          <w:bCs/>
          <w:lang w:eastAsia="he-IL"/>
        </w:rPr>
        <w:t xml:space="preserve"> </w:t>
      </w:r>
      <w:r w:rsidRPr="00A41FC0">
        <w:rPr>
          <w:rFonts w:ascii="David" w:eastAsia="David" w:hAnsi="David" w:hint="cs"/>
          <w:b/>
          <w:bCs/>
          <w:rtl/>
          <w:lang w:eastAsia="he-IL"/>
        </w:rPr>
        <w:t>הצהיר</w:t>
      </w:r>
      <w:r w:rsidRPr="00A41FC0">
        <w:rPr>
          <w:rFonts w:ascii="David" w:eastAsia="David" w:hAnsi="David" w:hint="cs"/>
          <w:b/>
          <w:bCs/>
          <w:lang w:eastAsia="he-IL"/>
        </w:rPr>
        <w:t xml:space="preserve"> </w:t>
      </w:r>
      <w:r w:rsidRPr="00A41FC0">
        <w:rPr>
          <w:rFonts w:ascii="David" w:eastAsia="David" w:hAnsi="David" w:hint="cs"/>
          <w:b/>
          <w:bCs/>
          <w:rtl/>
          <w:lang w:eastAsia="he-IL"/>
        </w:rPr>
        <w:t>העובר</w:t>
      </w:r>
      <w:r w:rsidRPr="00A41FC0">
        <w:rPr>
          <w:rFonts w:ascii="David" w:eastAsia="David" w:hAnsi="David" w:hint="cs"/>
          <w:b/>
          <w:bCs/>
          <w:lang w:eastAsia="he-IL"/>
        </w:rPr>
        <w:t xml:space="preserve"> </w:t>
      </w:r>
      <w:r w:rsidRPr="00A41FC0">
        <w:rPr>
          <w:rFonts w:ascii="David" w:eastAsia="David" w:hAnsi="David" w:hint="cs"/>
          <w:b/>
          <w:bCs/>
          <w:rtl/>
          <w:lang w:eastAsia="he-IL"/>
        </w:rPr>
        <w:t>וכיו"ב."</w:t>
      </w:r>
    </w:p>
    <w:p w:rsidR="00A41FC0" w:rsidRPr="00A41FC0" w:rsidRDefault="00A41FC0" w:rsidP="00A41FC0">
      <w:pPr>
        <w:tabs>
          <w:tab w:val="left" w:pos="793"/>
        </w:tabs>
        <w:spacing w:line="360" w:lineRule="auto"/>
        <w:contextualSpacing/>
        <w:jc w:val="both"/>
        <w:rPr>
          <w:rFonts w:ascii="David" w:eastAsia="Calibri" w:hAnsi="David"/>
          <w:rtl/>
          <w:lang w:eastAsia="he-IL"/>
        </w:rPr>
      </w:pPr>
    </w:p>
    <w:p w:rsidR="00A41FC0" w:rsidRPr="00A41FC0" w:rsidRDefault="00A41FC0" w:rsidP="00202C47">
      <w:pPr>
        <w:numPr>
          <w:ilvl w:val="0"/>
          <w:numId w:val="1"/>
        </w:numPr>
        <w:tabs>
          <w:tab w:val="left" w:pos="793"/>
        </w:tabs>
        <w:spacing w:before="240" w:line="360" w:lineRule="auto"/>
        <w:contextualSpacing/>
        <w:jc w:val="both"/>
        <w:rPr>
          <w:rFonts w:ascii="David" w:hAnsi="David"/>
          <w:b/>
          <w:bCs/>
          <w:rtl/>
          <w:lang w:eastAsia="he-IL"/>
        </w:rPr>
      </w:pPr>
      <w:r w:rsidRPr="00A41FC0">
        <w:rPr>
          <w:rFonts w:ascii="David" w:hAnsi="David"/>
          <w:b/>
          <w:bCs/>
          <w:rtl/>
          <w:lang w:eastAsia="he-IL"/>
        </w:rPr>
        <w:t xml:space="preserve">נוהל 6.4.0010 מסמיך את נציגי הרשות לבדוק נתונים רבים טרם קבלת ההחלטה, אך הוא אינו מסמיך מי מנציגי הרשות לבצע חיפוש ברכושם של המבקשים להיכנס לישראל, </w:t>
      </w:r>
      <w:r w:rsidR="00202C47">
        <w:rPr>
          <w:rFonts w:ascii="David" w:hAnsi="David" w:hint="cs"/>
          <w:b/>
          <w:bCs/>
          <w:rtl/>
          <w:lang w:eastAsia="he-IL"/>
        </w:rPr>
        <w:t xml:space="preserve">ובעיקר </w:t>
      </w:r>
      <w:r w:rsidRPr="00A41FC0">
        <w:rPr>
          <w:rFonts w:ascii="David" w:hAnsi="David"/>
          <w:b/>
          <w:bCs/>
          <w:rtl/>
          <w:lang w:eastAsia="he-IL"/>
        </w:rPr>
        <w:t xml:space="preserve"> לא במכשירים הניידים שלהם. בהעדר הסמכה לנציגי הרשות בנוהל 6.4.0010 או בחוק הכניסה לישראל או בחוק אחר, ליישום עקרונות הפרטיות החוקתית על חיפוש בטלפונים הניידים של מי שמבקשים להיכנס לישראל, בין תיירים ובין מבקשי מקלט, יוצא, כי כל חיפוש בטלפון נייד בגבול, מהווה פגיעה אסורה בפרטיותו</w:t>
      </w:r>
      <w:r w:rsidR="00202C47">
        <w:rPr>
          <w:rFonts w:ascii="David" w:hAnsi="David" w:hint="cs"/>
          <w:b/>
          <w:bCs/>
          <w:rtl/>
          <w:lang w:eastAsia="he-IL"/>
        </w:rPr>
        <w:t xml:space="preserve"> החוקתית של המחזיק בו</w:t>
      </w:r>
      <w:r w:rsidRPr="00A41FC0">
        <w:rPr>
          <w:rFonts w:ascii="David" w:hAnsi="David"/>
          <w:b/>
          <w:bCs/>
          <w:rtl/>
          <w:lang w:eastAsia="he-IL"/>
        </w:rPr>
        <w:t>. כפי שציין בירנהק, פרטיות חוקתית (שם, בעמ' 366): "כל פגיעה של הרשות בפרטיות של אדם לפי החוק, היא בהגדרה גם פגיעה בזכות החוקתית".</w:t>
      </w:r>
      <w:r w:rsidR="00202C47">
        <w:rPr>
          <w:rFonts w:ascii="David" w:hAnsi="David" w:hint="cs"/>
          <w:b/>
          <w:bCs/>
          <w:rtl/>
          <w:lang w:eastAsia="he-IL"/>
        </w:rPr>
        <w:t xml:space="preserve"> כל השאלות הנוגעות לאיזונים ומידתיות בין אנשים שונים (כגון מבקשי מקלט לעומת תיירים, היקף החיפוש וכיו"ב), הן שאלות שיש לבחון במסגרת גיבוש חקיקה מסמיכה, או בבחינת פעולות שנעשו מכוח הסמכה בחוק. חיפוש ללא סמכות חוקית אסור. פשוטטו כמשמעו.</w:t>
      </w:r>
    </w:p>
    <w:p w:rsidR="00A41FC0" w:rsidRPr="00A41FC0" w:rsidRDefault="00A41FC0" w:rsidP="00A41FC0">
      <w:pPr>
        <w:tabs>
          <w:tab w:val="left" w:pos="793"/>
        </w:tabs>
        <w:spacing w:line="360" w:lineRule="auto"/>
        <w:contextualSpacing/>
        <w:jc w:val="both"/>
        <w:rPr>
          <w:rFonts w:ascii="David" w:hAnsi="David"/>
          <w:b/>
          <w:bCs/>
          <w:lang w:eastAsia="he-IL"/>
        </w:rPr>
      </w:pPr>
    </w:p>
    <w:p w:rsidR="00A41FC0" w:rsidRDefault="00A41FC0" w:rsidP="00A41FC0">
      <w:pPr>
        <w:numPr>
          <w:ilvl w:val="0"/>
          <w:numId w:val="1"/>
        </w:numPr>
        <w:tabs>
          <w:tab w:val="left" w:pos="793"/>
        </w:tabs>
        <w:spacing w:before="240" w:line="360" w:lineRule="auto"/>
        <w:contextualSpacing/>
        <w:jc w:val="both"/>
        <w:rPr>
          <w:rFonts w:ascii="David" w:hAnsi="David"/>
          <w:lang w:eastAsia="he-IL"/>
        </w:rPr>
      </w:pPr>
      <w:r w:rsidRPr="00A41FC0">
        <w:rPr>
          <w:rFonts w:ascii="David" w:hAnsi="David"/>
          <w:rtl/>
          <w:lang w:eastAsia="he-IL"/>
        </w:rPr>
        <w:t xml:space="preserve">בנוסף, עצם לקיחת הטלפון הנייד והותרת האדם ללא המכשיר במעבר הגבול, לעתים לשעות ארוכות, ללא יכולת ליצור קשר עם עו"ד או עם קרובים וחברים ליידע במצב ולקבל מידע ועזרה מהם, פוגע בזכויות אחרות של המגיעים לישראל. בראש ובראשונה נפגעת הזכות לכבוד האדם, בשל התלות הרבה במכשירים אלה, עליה עמד כב' השופט עמית </w:t>
      </w:r>
      <w:r w:rsidRPr="00A41FC0">
        <w:rPr>
          <w:rFonts w:ascii="David" w:hAnsi="David"/>
          <w:b/>
          <w:bCs/>
          <w:rtl/>
          <w:lang w:eastAsia="he-IL"/>
        </w:rPr>
        <w:t>בעניין דביר,</w:t>
      </w:r>
      <w:r w:rsidRPr="00A41FC0">
        <w:rPr>
          <w:rFonts w:ascii="David" w:hAnsi="David"/>
          <w:rtl/>
          <w:lang w:eastAsia="he-IL"/>
        </w:rPr>
        <w:t xml:space="preserve"> ובשל תחושת אבדן השליטה והמצוקה הנוצרות מהפרדה כפויה מהטלפון ומחיטוט בו באופן בלתי מורשה ובלתי מוגבל על ידי נציגי הרשות. אולם, בנוסף, נפגעת גם זכות הגישה לערכאות, שכן בהעדר טלפון נפגעת גם היכולת ליצור קשר עם עו"ד או עם קרובי משפחה וחברים הממתינים בישראל שיוכלו ליצור קשר עם ב"כ במידת הנדרש, כפי שקרהגם במקרה שלפניי. </w:t>
      </w:r>
    </w:p>
    <w:p w:rsidR="00F078D0" w:rsidRDefault="00F078D0" w:rsidP="00F078D0">
      <w:pPr>
        <w:tabs>
          <w:tab w:val="left" w:pos="793"/>
        </w:tabs>
        <w:spacing w:before="240" w:line="360" w:lineRule="auto"/>
        <w:contextualSpacing/>
        <w:jc w:val="both"/>
        <w:rPr>
          <w:rFonts w:ascii="David" w:hAnsi="David"/>
          <w:rtl/>
          <w:lang w:eastAsia="he-IL"/>
        </w:rPr>
      </w:pPr>
    </w:p>
    <w:p w:rsidR="00F078D0" w:rsidRPr="00F078D0" w:rsidRDefault="00F078D0" w:rsidP="00100F6D">
      <w:pPr>
        <w:tabs>
          <w:tab w:val="left" w:pos="793"/>
        </w:tabs>
        <w:spacing w:before="240" w:line="360" w:lineRule="auto"/>
        <w:contextualSpacing/>
        <w:jc w:val="both"/>
        <w:rPr>
          <w:rFonts w:ascii="David" w:hAnsi="David"/>
          <w:b/>
          <w:bCs/>
          <w:rtl/>
          <w:lang w:eastAsia="he-IL"/>
        </w:rPr>
      </w:pPr>
      <w:r w:rsidRPr="00F078D0">
        <w:rPr>
          <w:rFonts w:ascii="David" w:hAnsi="David" w:hint="cs"/>
          <w:b/>
          <w:bCs/>
          <w:rtl/>
          <w:lang w:eastAsia="he-IL"/>
        </w:rPr>
        <w:lastRenderedPageBreak/>
        <w:t>לסיכום, חוק הכניסה לישראל והנהלים מכוחו אינם מסמיכים את פקחי הרשות לקחת את הטלפונים ה</w:t>
      </w:r>
      <w:r w:rsidR="00100F6D">
        <w:rPr>
          <w:rFonts w:ascii="David" w:hAnsi="David" w:hint="cs"/>
          <w:b/>
          <w:bCs/>
          <w:rtl/>
          <w:lang w:eastAsia="he-IL"/>
        </w:rPr>
        <w:t>ניידים</w:t>
      </w:r>
      <w:r w:rsidRPr="00F078D0">
        <w:rPr>
          <w:rFonts w:ascii="David" w:hAnsi="David" w:hint="cs"/>
          <w:b/>
          <w:bCs/>
          <w:rtl/>
          <w:lang w:eastAsia="he-IL"/>
        </w:rPr>
        <w:t xml:space="preserve"> בנקודות הגבול ולערוך בהם חיפוש.</w:t>
      </w:r>
    </w:p>
    <w:p w:rsidR="00F078D0" w:rsidRDefault="00F078D0" w:rsidP="00F078D0">
      <w:pPr>
        <w:tabs>
          <w:tab w:val="left" w:pos="793"/>
        </w:tabs>
        <w:spacing w:before="240" w:line="360" w:lineRule="auto"/>
        <w:contextualSpacing/>
        <w:jc w:val="both"/>
        <w:rPr>
          <w:rFonts w:ascii="David" w:hAnsi="David"/>
          <w:rtl/>
          <w:lang w:eastAsia="he-IL"/>
        </w:rPr>
      </w:pPr>
    </w:p>
    <w:p w:rsidR="00DD1BCD" w:rsidRDefault="00F078D0" w:rsidP="00100F6D">
      <w:pPr>
        <w:tabs>
          <w:tab w:val="left" w:pos="793"/>
        </w:tabs>
        <w:spacing w:before="240" w:line="360" w:lineRule="auto"/>
        <w:contextualSpacing/>
        <w:jc w:val="both"/>
        <w:rPr>
          <w:rFonts w:ascii="David" w:hAnsi="David"/>
          <w:rtl/>
          <w:lang w:eastAsia="he-IL"/>
        </w:rPr>
      </w:pPr>
      <w:r>
        <w:rPr>
          <w:rFonts w:ascii="David" w:hAnsi="David" w:hint="cs"/>
          <w:rtl/>
          <w:lang w:eastAsia="he-IL"/>
        </w:rPr>
        <w:t xml:space="preserve">בית הדין בהחלטתו קבע כי  הרשות הייתה רשאית לבסס את החלטה על ממצא שנמצא בטלפון </w:t>
      </w:r>
      <w:r w:rsidR="00100F6D">
        <w:rPr>
          <w:rFonts w:ascii="David" w:hAnsi="David" w:hint="cs"/>
          <w:rtl/>
          <w:lang w:eastAsia="he-IL"/>
        </w:rPr>
        <w:t>הנייד</w:t>
      </w:r>
      <w:r>
        <w:rPr>
          <w:rFonts w:ascii="David" w:hAnsi="David" w:hint="cs"/>
          <w:rtl/>
          <w:lang w:eastAsia="he-IL"/>
        </w:rPr>
        <w:t xml:space="preserve"> של המערערת, כיון שבפרוטוקול התשאול, כמו גם בתגובת המדינה לערר נאמר כי המערערת הסכימה לכך. על כן יש לדון בעניין זה.</w:t>
      </w:r>
    </w:p>
    <w:p w:rsidR="00DD1BCD" w:rsidRPr="00A41FC0" w:rsidRDefault="00DD1BCD" w:rsidP="00DD1BCD">
      <w:pPr>
        <w:tabs>
          <w:tab w:val="left" w:pos="793"/>
        </w:tabs>
        <w:spacing w:line="360" w:lineRule="auto"/>
        <w:contextualSpacing/>
        <w:jc w:val="both"/>
        <w:rPr>
          <w:rFonts w:ascii="David" w:eastAsia="Calibri" w:hAnsi="David"/>
          <w:rtl/>
          <w:lang w:eastAsia="he-IL"/>
        </w:rPr>
      </w:pPr>
    </w:p>
    <w:p w:rsidR="00DD1BCD" w:rsidRPr="008F68B7" w:rsidRDefault="00DD1BCD" w:rsidP="00DD1BCD">
      <w:pPr>
        <w:tabs>
          <w:tab w:val="left" w:pos="793"/>
        </w:tabs>
        <w:spacing w:line="360" w:lineRule="auto"/>
        <w:contextualSpacing/>
        <w:jc w:val="both"/>
        <w:rPr>
          <w:rFonts w:ascii="David" w:eastAsia="Calibri" w:hAnsi="David"/>
          <w:rtl/>
          <w:lang w:eastAsia="he-IL"/>
        </w:rPr>
      </w:pPr>
      <w:r w:rsidRPr="00A41FC0">
        <w:rPr>
          <w:rFonts w:ascii="David" w:eastAsia="Calibri" w:hAnsi="David"/>
          <w:b/>
          <w:bCs/>
          <w:u w:val="single"/>
          <w:rtl/>
          <w:lang w:eastAsia="he-IL"/>
        </w:rPr>
        <w:t>האם יש נפקות להסכמה לחיפוש ככל שניתנה</w:t>
      </w:r>
    </w:p>
    <w:p w:rsidR="0089678D" w:rsidRDefault="008F68B7" w:rsidP="00420DC4">
      <w:pPr>
        <w:pStyle w:val="ad"/>
        <w:numPr>
          <w:ilvl w:val="0"/>
          <w:numId w:val="1"/>
        </w:numPr>
        <w:tabs>
          <w:tab w:val="left" w:pos="793"/>
        </w:tabs>
        <w:spacing w:line="360" w:lineRule="auto"/>
        <w:jc w:val="both"/>
        <w:rPr>
          <w:rFonts w:ascii="David" w:eastAsia="Calibri" w:hAnsi="David"/>
          <w:lang w:eastAsia="he-IL"/>
        </w:rPr>
      </w:pPr>
      <w:r>
        <w:rPr>
          <w:rFonts w:ascii="David" w:eastAsia="Calibri" w:hAnsi="David" w:hint="cs"/>
          <w:rtl/>
          <w:lang w:eastAsia="he-IL"/>
        </w:rPr>
        <w:t xml:space="preserve">השאלה אם הסכמה </w:t>
      </w:r>
      <w:r w:rsidR="000C4853">
        <w:rPr>
          <w:rFonts w:ascii="David" w:eastAsia="Calibri" w:hAnsi="David" w:hint="cs"/>
          <w:rtl/>
          <w:lang w:eastAsia="he-IL"/>
        </w:rPr>
        <w:t xml:space="preserve">מאפשרת פגיעה בפרטיות </w:t>
      </w:r>
      <w:r w:rsidR="00420DC4">
        <w:rPr>
          <w:rFonts w:ascii="David" w:eastAsia="Calibri" w:hAnsi="David" w:hint="cs"/>
          <w:rtl/>
          <w:lang w:eastAsia="he-IL"/>
        </w:rPr>
        <w:t>החוקתית.</w:t>
      </w:r>
      <w:r>
        <w:rPr>
          <w:rFonts w:ascii="David" w:eastAsia="Calibri" w:hAnsi="David" w:hint="cs"/>
          <w:rtl/>
          <w:lang w:eastAsia="he-IL"/>
        </w:rPr>
        <w:t xml:space="preserve"> </w:t>
      </w:r>
      <w:r w:rsidR="000C4853">
        <w:rPr>
          <w:rFonts w:ascii="David" w:eastAsia="Calibri" w:hAnsi="David" w:hint="cs"/>
          <w:rtl/>
          <w:lang w:eastAsia="he-IL"/>
        </w:rPr>
        <w:t xml:space="preserve">לטעמי, </w:t>
      </w:r>
      <w:r>
        <w:rPr>
          <w:rFonts w:ascii="David" w:eastAsia="Calibri" w:hAnsi="David" w:hint="cs"/>
          <w:rtl/>
          <w:lang w:eastAsia="he-IL"/>
        </w:rPr>
        <w:t xml:space="preserve">העמדה העקרונית היא כי לא ניתן להסכים לפגיעה בזכויות חוקתיות (למעט בשוליהן). </w:t>
      </w:r>
      <w:r w:rsidRPr="00202C47">
        <w:rPr>
          <w:rFonts w:ascii="David" w:eastAsia="Calibri" w:hAnsi="David" w:hint="cs"/>
          <w:b/>
          <w:bCs/>
          <w:rtl/>
          <w:lang w:eastAsia="he-IL"/>
        </w:rPr>
        <w:t>ברק, הזכות החוקתית לפרטיות</w:t>
      </w:r>
      <w:r>
        <w:rPr>
          <w:rFonts w:ascii="David" w:eastAsia="Calibri" w:hAnsi="David" w:hint="cs"/>
          <w:rtl/>
          <w:lang w:eastAsia="he-IL"/>
        </w:rPr>
        <w:t>, בעמ' 431), ציין לעניין זה:</w:t>
      </w:r>
    </w:p>
    <w:p w:rsidR="008F68B7" w:rsidRPr="008F68B7" w:rsidRDefault="008F68B7" w:rsidP="008F68B7">
      <w:pPr>
        <w:pStyle w:val="ad"/>
        <w:tabs>
          <w:tab w:val="left" w:pos="793"/>
        </w:tabs>
        <w:ind w:left="567" w:right="567"/>
        <w:jc w:val="both"/>
        <w:rPr>
          <w:rFonts w:ascii="David" w:eastAsia="Calibri" w:hAnsi="David"/>
          <w:b/>
          <w:bCs/>
          <w:rtl/>
          <w:lang w:eastAsia="he-IL"/>
        </w:rPr>
      </w:pPr>
      <w:r w:rsidRPr="008F68B7">
        <w:rPr>
          <w:rFonts w:ascii="David" w:eastAsia="Calibri" w:hAnsi="David" w:hint="cs"/>
          <w:b/>
          <w:bCs/>
          <w:rtl/>
          <w:lang w:eastAsia="he-IL"/>
        </w:rPr>
        <w:t>"</w:t>
      </w:r>
      <w:r w:rsidRPr="008F68B7">
        <w:rPr>
          <w:rFonts w:ascii="David" w:eastAsia="Calibri" w:hAnsi="David"/>
          <w:b/>
          <w:bCs/>
          <w:rtl/>
          <w:lang w:eastAsia="he-IL"/>
        </w:rPr>
        <w:t>אדם המסכים לפגיעה של הרשות השלטונית</w:t>
      </w:r>
      <w:r w:rsidRPr="008F68B7">
        <w:rPr>
          <w:rFonts w:ascii="David" w:eastAsia="Calibri" w:hAnsi="David" w:hint="cs"/>
          <w:b/>
          <w:bCs/>
          <w:rtl/>
          <w:lang w:eastAsia="he-IL"/>
        </w:rPr>
        <w:t xml:space="preserve"> </w:t>
      </w:r>
      <w:r w:rsidRPr="008F68B7">
        <w:rPr>
          <w:rFonts w:ascii="David" w:eastAsia="Calibri" w:hAnsi="David"/>
          <w:b/>
          <w:bCs/>
          <w:rtl/>
          <w:lang w:eastAsia="he-IL"/>
        </w:rPr>
        <w:t xml:space="preserve">בזכות החוקתית לכבוד או בזכות </w:t>
      </w:r>
      <w:r w:rsidRPr="008F68B7">
        <w:rPr>
          <w:rFonts w:ascii="David" w:eastAsia="Calibri" w:hAnsi="David" w:hint="cs"/>
          <w:b/>
          <w:bCs/>
          <w:rtl/>
          <w:lang w:eastAsia="he-IL"/>
        </w:rPr>
        <w:t>ה</w:t>
      </w:r>
      <w:r w:rsidRPr="008F68B7">
        <w:rPr>
          <w:rFonts w:ascii="David" w:eastAsia="Calibri" w:hAnsi="David"/>
          <w:b/>
          <w:bCs/>
          <w:rtl/>
          <w:lang w:eastAsia="he-IL"/>
        </w:rPr>
        <w:t>חוקתית לחירות אישית אינו מסיר מעל עצמו את תחולתן</w:t>
      </w:r>
      <w:r w:rsidRPr="008F68B7">
        <w:rPr>
          <w:rFonts w:ascii="David" w:eastAsia="Calibri" w:hAnsi="David" w:hint="cs"/>
          <w:b/>
          <w:bCs/>
          <w:rtl/>
          <w:lang w:eastAsia="he-IL"/>
        </w:rPr>
        <w:t xml:space="preserve"> </w:t>
      </w:r>
      <w:r w:rsidRPr="008F68B7">
        <w:rPr>
          <w:rFonts w:ascii="David" w:eastAsia="Calibri" w:hAnsi="David"/>
          <w:b/>
          <w:bCs/>
          <w:rtl/>
          <w:lang w:eastAsia="he-IL"/>
        </w:rPr>
        <w:t>של זכויות אלה. רשות שלטונית הפוגעת בזכות החוקתית של אדם על פי הסכמתו חייבת</w:t>
      </w:r>
      <w:r w:rsidRPr="008F68B7">
        <w:rPr>
          <w:rFonts w:ascii="David" w:eastAsia="Calibri" w:hAnsi="David" w:hint="cs"/>
          <w:b/>
          <w:bCs/>
          <w:rtl/>
          <w:lang w:eastAsia="he-IL"/>
        </w:rPr>
        <w:t xml:space="preserve"> </w:t>
      </w:r>
      <w:r w:rsidRPr="008F68B7">
        <w:rPr>
          <w:rFonts w:ascii="David" w:eastAsia="Calibri" w:hAnsi="David"/>
          <w:b/>
          <w:bCs/>
          <w:rtl/>
          <w:lang w:eastAsia="he-IL"/>
        </w:rPr>
        <w:t>להצדיק את הפגיעה על פי מבחניה של פסקת ההגבלה. דין זהה צריך לחול גם מקום שאדם</w:t>
      </w:r>
      <w:r w:rsidRPr="008F68B7">
        <w:rPr>
          <w:rFonts w:ascii="David" w:eastAsia="Calibri" w:hAnsi="David" w:hint="cs"/>
          <w:b/>
          <w:bCs/>
          <w:rtl/>
          <w:lang w:eastAsia="he-IL"/>
        </w:rPr>
        <w:t xml:space="preserve"> </w:t>
      </w:r>
      <w:r w:rsidRPr="008F68B7">
        <w:rPr>
          <w:rFonts w:ascii="David" w:eastAsia="Calibri" w:hAnsi="David"/>
          <w:b/>
          <w:bCs/>
          <w:rtl/>
          <w:lang w:eastAsia="he-IL"/>
        </w:rPr>
        <w:t>מסכים לפגיעה בזכותו החוקתית לפרטיות וצנעת הפרט</w:t>
      </w:r>
      <w:r w:rsidRPr="008F68B7">
        <w:rPr>
          <w:rFonts w:ascii="David" w:eastAsia="Calibri" w:hAnsi="David" w:hint="cs"/>
          <w:b/>
          <w:bCs/>
          <w:rtl/>
          <w:lang w:eastAsia="he-IL"/>
        </w:rPr>
        <w:t>."</w:t>
      </w:r>
    </w:p>
    <w:p w:rsidR="008F68B7" w:rsidRDefault="008F68B7" w:rsidP="00202C47">
      <w:pPr>
        <w:tabs>
          <w:tab w:val="left" w:pos="793"/>
        </w:tabs>
        <w:spacing w:before="240" w:line="360" w:lineRule="auto"/>
        <w:contextualSpacing/>
        <w:jc w:val="both"/>
        <w:rPr>
          <w:rFonts w:ascii="David" w:hAnsi="David"/>
          <w:rtl/>
          <w:lang w:eastAsia="he-IL"/>
        </w:rPr>
      </w:pPr>
      <w:r>
        <w:rPr>
          <w:rFonts w:ascii="David" w:hAnsi="David" w:hint="cs"/>
          <w:rtl/>
          <w:lang w:eastAsia="he-IL"/>
        </w:rPr>
        <w:t>אח</w:t>
      </w:r>
      <w:r w:rsidR="000C4853">
        <w:rPr>
          <w:rFonts w:ascii="David" w:hAnsi="David" w:hint="cs"/>
          <w:rtl/>
          <w:lang w:eastAsia="he-IL"/>
        </w:rPr>
        <w:t>ד ממבחני פסקת ההגבלה הינו שהפגיעה תעשה בחוק, מה שלא נעשה בענייננו. השאלה אם מתן "הסכמה" כנטען בדוח התשאול, פוטרת את המדינה מחובתה לעמו</w:t>
      </w:r>
      <w:r w:rsidR="00202C47">
        <w:rPr>
          <w:rFonts w:ascii="David" w:hAnsi="David" w:hint="cs"/>
          <w:rtl/>
          <w:lang w:eastAsia="he-IL"/>
        </w:rPr>
        <w:t>ד</w:t>
      </w:r>
      <w:r w:rsidR="000C4853">
        <w:rPr>
          <w:rFonts w:ascii="David" w:hAnsi="David" w:hint="cs"/>
          <w:rtl/>
          <w:lang w:eastAsia="he-IL"/>
        </w:rPr>
        <w:t xml:space="preserve"> </w:t>
      </w:r>
      <w:r w:rsidR="00420DC4">
        <w:rPr>
          <w:rFonts w:ascii="David" w:hAnsi="David" w:hint="cs"/>
          <w:rtl/>
          <w:lang w:eastAsia="he-IL"/>
        </w:rPr>
        <w:t>ב</w:t>
      </w:r>
      <w:r w:rsidR="000C4853">
        <w:rPr>
          <w:rFonts w:ascii="David" w:hAnsi="David" w:hint="cs"/>
          <w:rtl/>
          <w:lang w:eastAsia="he-IL"/>
        </w:rPr>
        <w:t xml:space="preserve">פיסקת ההגבלה. אני סבורה שאין </w:t>
      </w:r>
      <w:r w:rsidR="00202C47">
        <w:rPr>
          <w:rFonts w:ascii="David" w:hAnsi="David" w:hint="cs"/>
          <w:rtl/>
          <w:lang w:eastAsia="he-IL"/>
        </w:rPr>
        <w:t>לאפשר זאת</w:t>
      </w:r>
      <w:r w:rsidR="000C4853">
        <w:rPr>
          <w:rFonts w:ascii="David" w:hAnsi="David" w:hint="cs"/>
          <w:rtl/>
          <w:lang w:eastAsia="he-IL"/>
        </w:rPr>
        <w:t xml:space="preserve">. </w:t>
      </w:r>
      <w:r w:rsidR="00202C47">
        <w:rPr>
          <w:rFonts w:ascii="David" w:hAnsi="David" w:hint="cs"/>
          <w:rtl/>
          <w:lang w:eastAsia="he-IL"/>
        </w:rPr>
        <w:t>כפי שעולה מהמקרה שלפניי, המערערים חתמו על ויתור על זכותם לייצוג בידי עו"ד והישארות 48 בישראל לצורך מיצוי זכויותיהם, כשמייד לאחר מכן הוגש ערר מטעמם, כך שההסכמה לא הייתה הסכמה.</w:t>
      </w:r>
    </w:p>
    <w:p w:rsidR="008B2E36" w:rsidRPr="008B2E36" w:rsidRDefault="00420DC4" w:rsidP="008B2E36">
      <w:pPr>
        <w:pStyle w:val="ad"/>
        <w:numPr>
          <w:ilvl w:val="0"/>
          <w:numId w:val="1"/>
        </w:numPr>
        <w:tabs>
          <w:tab w:val="left" w:pos="793"/>
        </w:tabs>
        <w:spacing w:before="240" w:line="360" w:lineRule="auto"/>
        <w:jc w:val="both"/>
        <w:rPr>
          <w:rFonts w:ascii="David" w:hAnsi="David"/>
          <w:lang w:eastAsia="he-IL"/>
        </w:rPr>
      </w:pPr>
      <w:r w:rsidRPr="008B2E36">
        <w:rPr>
          <w:rFonts w:ascii="David" w:hAnsi="David" w:hint="cs"/>
          <w:rtl/>
          <w:lang w:eastAsia="he-IL"/>
        </w:rPr>
        <w:t xml:space="preserve">אמנם, </w:t>
      </w:r>
      <w:r w:rsidRPr="008B2E36">
        <w:rPr>
          <w:rFonts w:ascii="David" w:eastAsia="Calibri" w:hAnsi="David" w:hint="cs"/>
          <w:rtl/>
          <w:lang w:eastAsia="he-IL"/>
        </w:rPr>
        <w:t xml:space="preserve">סעיף 7(ב) לחוק-יסוד: כבוד האדם וחירותו קובע כי הכניסה לרשות היחיד תפגע בזכותו לפרטיות אם היא נעשית "שלא בהסכמתו". ברק, הזכות החוקתית לפרטיות סבור כי הדבר מוגבל למקומות פיזיים, ואין להשליך מכך על האפשרות להסכים לפגיעה בזכות החוקתית לפרטיות (שם). אולם, חיפוש בכליו של אדם מוסדר בסעיף 7(ג) לחוק, </w:t>
      </w:r>
      <w:r w:rsidR="008B2E36" w:rsidRPr="008B2E36">
        <w:rPr>
          <w:rFonts w:ascii="David" w:hAnsi="David" w:hint="cs"/>
          <w:rtl/>
          <w:lang w:eastAsia="he-IL"/>
        </w:rPr>
        <w:t>ועל כן</w:t>
      </w:r>
      <w:r w:rsidR="008B2E36" w:rsidRPr="008B2E36">
        <w:rPr>
          <w:rtl/>
        </w:rPr>
        <w:t xml:space="preserve"> </w:t>
      </w:r>
      <w:r w:rsidR="008B2E36" w:rsidRPr="008B2E36">
        <w:rPr>
          <w:rFonts w:ascii="David" w:hAnsi="David"/>
          <w:rtl/>
          <w:lang w:eastAsia="he-IL"/>
        </w:rPr>
        <w:t>אי הסכמה לחיפוש אינה חלק מהגדרת היקפה של הזכות החוקתית כנגד החיפוש</w:t>
      </w:r>
      <w:r w:rsidR="008B2E36" w:rsidRPr="008B2E36">
        <w:rPr>
          <w:rFonts w:ascii="David" w:hAnsi="David" w:hint="cs"/>
          <w:rtl/>
          <w:lang w:eastAsia="he-IL"/>
        </w:rPr>
        <w:t xml:space="preserve">. היינו, </w:t>
      </w:r>
      <w:r w:rsidR="008B2E36" w:rsidRPr="008B2E36">
        <w:rPr>
          <w:rFonts w:ascii="David" w:hAnsi="David"/>
          <w:rtl/>
          <w:lang w:eastAsia="he-IL"/>
        </w:rPr>
        <w:t>על כן, הסכמתו של אדם לחיפוש אינה מונעת את הפגיעה בזכותו שלא יערך חיפוש</w:t>
      </w:r>
      <w:r w:rsidR="008B2E36">
        <w:rPr>
          <w:rFonts w:ascii="David" w:hAnsi="David" w:hint="cs"/>
          <w:rtl/>
          <w:lang w:eastAsia="he-IL"/>
        </w:rPr>
        <w:t>. הסכמה כזו יכולה להבחן במסגרת פסקת ההגבלה, שכן אם קיימת הסכמה</w:t>
      </w:r>
      <w:r w:rsidR="00202C47">
        <w:rPr>
          <w:rFonts w:ascii="David" w:hAnsi="David" w:hint="cs"/>
          <w:rtl/>
          <w:lang w:eastAsia="he-IL"/>
        </w:rPr>
        <w:t>,</w:t>
      </w:r>
      <w:r w:rsidR="008B2E36">
        <w:rPr>
          <w:rFonts w:ascii="David" w:hAnsi="David" w:hint="cs"/>
          <w:rtl/>
          <w:lang w:eastAsia="he-IL"/>
        </w:rPr>
        <w:t xml:space="preserve"> עצמת הפגיעה בפרטיות היא נמוכה.</w:t>
      </w:r>
    </w:p>
    <w:p w:rsidR="008B2E36" w:rsidRDefault="008B2E36" w:rsidP="008B2E36">
      <w:pPr>
        <w:pStyle w:val="ad"/>
        <w:tabs>
          <w:tab w:val="left" w:pos="793"/>
        </w:tabs>
        <w:spacing w:before="240" w:line="360" w:lineRule="auto"/>
        <w:ind w:left="0"/>
        <w:jc w:val="both"/>
        <w:rPr>
          <w:rFonts w:ascii="David" w:hAnsi="David"/>
          <w:rtl/>
          <w:lang w:eastAsia="he-IL"/>
        </w:rPr>
      </w:pPr>
    </w:p>
    <w:p w:rsidR="00627CBA" w:rsidRDefault="008B2E36" w:rsidP="00326BFD">
      <w:pPr>
        <w:pStyle w:val="ad"/>
        <w:numPr>
          <w:ilvl w:val="0"/>
          <w:numId w:val="1"/>
        </w:numPr>
        <w:tabs>
          <w:tab w:val="left" w:pos="793"/>
        </w:tabs>
        <w:spacing w:before="240" w:line="360" w:lineRule="auto"/>
        <w:jc w:val="both"/>
        <w:rPr>
          <w:rFonts w:ascii="David" w:hAnsi="David"/>
          <w:lang w:eastAsia="he-IL"/>
        </w:rPr>
      </w:pPr>
      <w:r w:rsidRPr="008B2E36">
        <w:rPr>
          <w:rFonts w:ascii="David" w:hAnsi="David" w:hint="cs"/>
          <w:rtl/>
          <w:lang w:eastAsia="he-IL"/>
        </w:rPr>
        <w:t xml:space="preserve">מכל מקום, גם אם יהיה מי שסבור אחרת, </w:t>
      </w:r>
      <w:r w:rsidR="00420DC4" w:rsidRPr="008B2E36">
        <w:rPr>
          <w:rFonts w:ascii="David" w:eastAsia="Calibri" w:hAnsi="David" w:hint="cs"/>
          <w:rtl/>
          <w:lang w:eastAsia="he-IL"/>
        </w:rPr>
        <w:t>"ההסכמה" הניתנת לבקרי הגבול על ידי מי שתלויים במוצא פיהם אם להיכנס לישראל, או להיות מורחקים ממנה, לאו הסכמה היא.</w:t>
      </w:r>
      <w:r w:rsidRPr="008B2E36">
        <w:rPr>
          <w:rFonts w:ascii="David" w:hAnsi="David" w:hint="cs"/>
          <w:rtl/>
          <w:lang w:eastAsia="he-IL"/>
        </w:rPr>
        <w:t xml:space="preserve"> </w:t>
      </w:r>
      <w:r w:rsidR="00DD1BCD" w:rsidRPr="008B2E36">
        <w:rPr>
          <w:rFonts w:ascii="David" w:hAnsi="David"/>
          <w:rtl/>
          <w:lang w:eastAsia="he-IL"/>
        </w:rPr>
        <w:t xml:space="preserve">במקרה שלפניי צוין בדו"ח התשאול כי ה"בדיקה" בטלפון </w:t>
      </w:r>
      <w:r w:rsidR="00100F6D" w:rsidRPr="008B2E36">
        <w:rPr>
          <w:rFonts w:ascii="David" w:hAnsi="David" w:hint="cs"/>
          <w:rtl/>
          <w:lang w:eastAsia="he-IL"/>
        </w:rPr>
        <w:t>הנייד</w:t>
      </w:r>
      <w:r w:rsidRPr="008B2E36">
        <w:rPr>
          <w:rFonts w:ascii="David" w:hAnsi="David" w:hint="cs"/>
          <w:rtl/>
          <w:lang w:eastAsia="he-IL"/>
        </w:rPr>
        <w:t xml:space="preserve"> </w:t>
      </w:r>
      <w:r w:rsidR="00DD1BCD" w:rsidRPr="008B2E36">
        <w:rPr>
          <w:rFonts w:ascii="David" w:hAnsi="David"/>
          <w:rtl/>
          <w:lang w:eastAsia="he-IL"/>
        </w:rPr>
        <w:t xml:space="preserve">של המערערת ע"י בקרית הגבול נעשה בנוכחותה ובהסכמתה של המערערת. בערעור נטען כי לא כך היו פני הדברים. אני סבורה כי גם אם המערערת </w:t>
      </w:r>
      <w:r w:rsidR="00DD1BCD" w:rsidRPr="008B2E36">
        <w:rPr>
          <w:rFonts w:ascii="David" w:hAnsi="David" w:hint="cs"/>
          <w:rtl/>
          <w:lang w:eastAsia="he-IL"/>
        </w:rPr>
        <w:t xml:space="preserve">מסרה </w:t>
      </w:r>
      <w:r w:rsidR="00DD1BCD" w:rsidRPr="008B2E36">
        <w:rPr>
          <w:rFonts w:ascii="David" w:hAnsi="David"/>
          <w:rtl/>
          <w:lang w:eastAsia="he-IL"/>
        </w:rPr>
        <w:t>את הטלפון שלה לידי הבקרית,</w:t>
      </w:r>
      <w:r w:rsidR="00202C47">
        <w:rPr>
          <w:rFonts w:ascii="David" w:hAnsi="David" w:hint="cs"/>
          <w:rtl/>
          <w:lang w:eastAsia="he-IL"/>
        </w:rPr>
        <w:t xml:space="preserve"> כשהתבקשה לעשות כן (ובהיעדר תיעוד של  התשאול לא ניתן לדעת מה היו פ</w:t>
      </w:r>
      <w:r w:rsidR="00326BFD">
        <w:rPr>
          <w:rFonts w:ascii="David" w:hAnsi="David" w:hint="cs"/>
          <w:rtl/>
          <w:lang w:eastAsia="he-IL"/>
        </w:rPr>
        <w:t>ני הדברים),</w:t>
      </w:r>
      <w:r w:rsidR="00DD1BCD" w:rsidRPr="008B2E36">
        <w:rPr>
          <w:rFonts w:ascii="David" w:hAnsi="David"/>
          <w:rtl/>
          <w:lang w:eastAsia="he-IL"/>
        </w:rPr>
        <w:t xml:space="preserve"> לא ניתן ללמוד לכך על מתן הסכמה לערוך חיפוש </w:t>
      </w:r>
      <w:r w:rsidR="00DD1BCD" w:rsidRPr="008B2E36">
        <w:rPr>
          <w:rFonts w:ascii="David" w:hAnsi="David"/>
          <w:rtl/>
          <w:lang w:eastAsia="he-IL"/>
        </w:rPr>
        <w:lastRenderedPageBreak/>
        <w:t xml:space="preserve">בטלפון </w:t>
      </w:r>
      <w:r w:rsidR="00326BFD">
        <w:rPr>
          <w:rFonts w:ascii="David" w:hAnsi="David" w:hint="cs"/>
          <w:rtl/>
          <w:lang w:eastAsia="he-IL"/>
        </w:rPr>
        <w:t>הנייד של המערערת</w:t>
      </w:r>
      <w:r w:rsidR="00DD1BCD" w:rsidRPr="008B2E36">
        <w:rPr>
          <w:rFonts w:ascii="David" w:hAnsi="David"/>
          <w:rtl/>
          <w:lang w:eastAsia="he-IL"/>
        </w:rPr>
        <w:t>, על כל המשמעויות והפגיעה</w:t>
      </w:r>
      <w:r w:rsidR="00326BFD">
        <w:rPr>
          <w:rFonts w:ascii="David" w:hAnsi="David" w:hint="cs"/>
          <w:rtl/>
          <w:lang w:eastAsia="he-IL"/>
        </w:rPr>
        <w:t xml:space="preserve"> בחמורה בפרטיות החוקתית</w:t>
      </w:r>
      <w:r w:rsidR="00DD1BCD" w:rsidRPr="008B2E36">
        <w:rPr>
          <w:rFonts w:ascii="David" w:hAnsi="David"/>
          <w:rtl/>
          <w:lang w:eastAsia="he-IL"/>
        </w:rPr>
        <w:t xml:space="preserve"> שיש בכך כמפורט לעיל. </w:t>
      </w:r>
    </w:p>
    <w:p w:rsidR="00627CBA" w:rsidRPr="00627CBA" w:rsidRDefault="00627CBA" w:rsidP="00627CBA">
      <w:pPr>
        <w:pStyle w:val="ad"/>
        <w:rPr>
          <w:rFonts w:ascii="David" w:hAnsi="David"/>
          <w:rtl/>
          <w:lang w:eastAsia="he-IL"/>
        </w:rPr>
      </w:pPr>
    </w:p>
    <w:p w:rsidR="00DD1BCD" w:rsidRPr="008B2E36" w:rsidRDefault="00DD1BCD" w:rsidP="00326BFD">
      <w:pPr>
        <w:pStyle w:val="ad"/>
        <w:numPr>
          <w:ilvl w:val="0"/>
          <w:numId w:val="1"/>
        </w:numPr>
        <w:tabs>
          <w:tab w:val="left" w:pos="793"/>
        </w:tabs>
        <w:spacing w:before="240" w:line="360" w:lineRule="auto"/>
        <w:jc w:val="both"/>
        <w:rPr>
          <w:rFonts w:ascii="David" w:hAnsi="David"/>
          <w:rtl/>
          <w:lang w:eastAsia="he-IL"/>
        </w:rPr>
      </w:pPr>
      <w:r w:rsidRPr="008B2E36">
        <w:rPr>
          <w:rFonts w:ascii="David" w:hAnsi="David"/>
          <w:rtl/>
          <w:lang w:eastAsia="he-IL"/>
        </w:rPr>
        <w:t xml:space="preserve">אדגיש כי זו לא הפעם הראשונה בה הרשות עורכת חיפושים בטלפונים ניידים של המבקשים להיכנס לישראל, מכוח אותה הסכמה כביכול. בערר (ת"א 5085-19 </w:t>
      </w:r>
      <w:r w:rsidRPr="008B2E36">
        <w:rPr>
          <w:rFonts w:ascii="David" w:hAnsi="David"/>
          <w:b/>
          <w:bCs/>
          <w:rtl/>
          <w:lang w:eastAsia="he-IL"/>
        </w:rPr>
        <w:t>אסתר ברהנה פסטהציון ואח' נ' משרד הפנים – רשות האוכלוסין וההגירה</w:t>
      </w:r>
      <w:r w:rsidRPr="008B2E36">
        <w:rPr>
          <w:rFonts w:ascii="David" w:hAnsi="David"/>
          <w:rtl/>
          <w:lang w:eastAsia="he-IL"/>
        </w:rPr>
        <w:t xml:space="preserve"> (נבו, 11.12.19), נדון מקרה דומה בו המערערת כשנשאלה אם באה לבקשר מישהו בישראל הכחישה (בניגוד למקרה שלפניי), ובהמשך בחיפוש בטלפון הישראלי שלה התגלתה התכתבות רומנטית עם </w:t>
      </w:r>
      <w:r w:rsidR="00326BFD">
        <w:rPr>
          <w:rFonts w:ascii="David" w:hAnsi="David" w:hint="cs"/>
          <w:rtl/>
          <w:lang w:eastAsia="he-IL"/>
        </w:rPr>
        <w:t>מי שהיה בן זוגה</w:t>
      </w:r>
      <w:r w:rsidRPr="008B2E36">
        <w:rPr>
          <w:rFonts w:ascii="David" w:hAnsi="David"/>
          <w:rtl/>
          <w:lang w:eastAsia="he-IL"/>
        </w:rPr>
        <w:t>, אז אישרה שאכן באה לבקרו (</w:t>
      </w:r>
      <w:r w:rsidR="00326BFD">
        <w:rPr>
          <w:rFonts w:ascii="David" w:hAnsi="David" w:hint="cs"/>
          <w:rtl/>
          <w:lang w:eastAsia="he-IL"/>
        </w:rPr>
        <w:t xml:space="preserve">בן זוגה </w:t>
      </w:r>
      <w:r w:rsidRPr="008B2E36">
        <w:rPr>
          <w:rFonts w:ascii="David" w:hAnsi="David"/>
          <w:rtl/>
          <w:lang w:eastAsia="he-IL"/>
        </w:rPr>
        <w:t xml:space="preserve">שהה בישראל באופן חוקי, ומדובר היה באזרחית ארה"ב). וכך ציין כב' הדיין מרט דורפמן </w:t>
      </w:r>
      <w:r w:rsidRPr="008B2E36">
        <w:rPr>
          <w:rFonts w:ascii="David" w:hAnsi="David" w:hint="cs"/>
          <w:rtl/>
          <w:lang w:eastAsia="he-IL"/>
        </w:rPr>
        <w:t>עוד</w:t>
      </w:r>
      <w:r w:rsidRPr="008B2E36">
        <w:rPr>
          <w:rFonts w:ascii="David" w:hAnsi="David"/>
          <w:rtl/>
          <w:lang w:eastAsia="he-IL"/>
        </w:rPr>
        <w:t xml:space="preserve"> בשנת 2019:</w:t>
      </w:r>
    </w:p>
    <w:p w:rsidR="00DD1BCD" w:rsidRPr="00A41FC0" w:rsidRDefault="00DD1BCD" w:rsidP="00FF2ABD">
      <w:pPr>
        <w:tabs>
          <w:tab w:val="left" w:pos="793"/>
        </w:tabs>
        <w:ind w:left="567" w:right="567"/>
        <w:contextualSpacing/>
        <w:jc w:val="both"/>
        <w:rPr>
          <w:rFonts w:ascii="David" w:hAnsi="David"/>
          <w:b/>
          <w:bCs/>
          <w:lang w:eastAsia="he-IL"/>
        </w:rPr>
      </w:pPr>
      <w:r w:rsidRPr="00A41FC0">
        <w:rPr>
          <w:rFonts w:ascii="David" w:hAnsi="David"/>
          <w:b/>
          <w:bCs/>
          <w:rtl/>
          <w:lang w:eastAsia="he-IL"/>
        </w:rPr>
        <w:t xml:space="preserve">"ראשית כל, כפי שניתן להבין מדו"ח התשאול בקר הגבול ביצע חיפוש במכשיר הנייד של העוררת. לא ברורה לי הסמכות הנורמטיבית של בקר הגבול לבצע חיפוש במכשיר הנייד של אזרח זר המבקש להיכנס לישראל....בשל אופי הפגיעה הקשה בפרטיותו של האדם ואופיו של המידע הנוגע לפרטיו האישיים והאינטימיים של המחזיק במכשיר, גם </w:t>
      </w:r>
      <w:r w:rsidR="00FF2ABD">
        <w:rPr>
          <w:rFonts w:ascii="David" w:hAnsi="David" w:hint="cs"/>
          <w:b/>
          <w:bCs/>
          <w:rtl/>
          <w:lang w:eastAsia="he-IL"/>
        </w:rPr>
        <w:t>א</w:t>
      </w:r>
      <w:r w:rsidRPr="00A41FC0">
        <w:rPr>
          <w:rFonts w:ascii="David" w:hAnsi="David"/>
          <w:b/>
          <w:bCs/>
          <w:rtl/>
          <w:lang w:eastAsia="he-IL"/>
        </w:rPr>
        <w:t>ם ניתנת הסכמה של האזרח זר לביצוע חיפוש ידני במכשיר שלו, בקר הגבולות אינו רשאי לבצע את החיפוש בעצמו בהעדר צו שיפוטי."</w:t>
      </w:r>
    </w:p>
    <w:p w:rsidR="00DD1BCD" w:rsidRPr="00A41FC0" w:rsidRDefault="00DD1BCD" w:rsidP="00DD1BCD">
      <w:pPr>
        <w:tabs>
          <w:tab w:val="left" w:pos="793"/>
        </w:tabs>
        <w:spacing w:line="360" w:lineRule="auto"/>
        <w:contextualSpacing/>
        <w:jc w:val="both"/>
        <w:rPr>
          <w:rFonts w:ascii="David" w:hAnsi="David"/>
          <w:rtl/>
          <w:lang w:eastAsia="he-IL"/>
        </w:rPr>
      </w:pPr>
    </w:p>
    <w:p w:rsidR="00DD1BCD" w:rsidRPr="00627CBA" w:rsidRDefault="00DD1BCD" w:rsidP="00627CBA">
      <w:pPr>
        <w:pStyle w:val="ad"/>
        <w:numPr>
          <w:ilvl w:val="0"/>
          <w:numId w:val="1"/>
        </w:numPr>
        <w:tabs>
          <w:tab w:val="left" w:pos="793"/>
        </w:tabs>
        <w:spacing w:line="360" w:lineRule="auto"/>
        <w:jc w:val="both"/>
        <w:rPr>
          <w:rFonts w:ascii="David" w:hAnsi="David"/>
          <w:rtl/>
          <w:lang w:eastAsia="he-IL"/>
        </w:rPr>
      </w:pPr>
      <w:r w:rsidRPr="00627CBA">
        <w:rPr>
          <w:rFonts w:ascii="David" w:hAnsi="David"/>
          <w:rtl/>
          <w:lang w:eastAsia="he-IL"/>
        </w:rPr>
        <w:t xml:space="preserve">אמנם, באותו עניין הותרה כניסתה של המערערת, ועל כן שאלה זו לא נדרשה להכרעה, אולם חמור בעיני שלאחר החלטה שיפוטית ברורה, שהרשות לא ערערה עליה, </w:t>
      </w:r>
      <w:r w:rsidR="00326BFD" w:rsidRPr="00627CBA">
        <w:rPr>
          <w:rFonts w:ascii="David" w:hAnsi="David" w:hint="cs"/>
          <w:rtl/>
          <w:lang w:eastAsia="he-IL"/>
        </w:rPr>
        <w:t>וקבעה במפורש כי לבקר הגבול אין סמכות לערוך חיפוש בטלפון נייד של מי שמבקש להיכנס לישראל, מ</w:t>
      </w:r>
      <w:r w:rsidRPr="00627CBA">
        <w:rPr>
          <w:rFonts w:ascii="David" w:hAnsi="David"/>
          <w:rtl/>
          <w:lang w:eastAsia="he-IL"/>
        </w:rPr>
        <w:t>משיכה</w:t>
      </w:r>
      <w:r w:rsidR="00326BFD" w:rsidRPr="00627CBA">
        <w:rPr>
          <w:rFonts w:ascii="David" w:hAnsi="David" w:hint="cs"/>
          <w:rtl/>
          <w:lang w:eastAsia="he-IL"/>
        </w:rPr>
        <w:t xml:space="preserve"> הרשות,</w:t>
      </w:r>
      <w:r w:rsidRPr="00627CBA">
        <w:rPr>
          <w:rFonts w:ascii="David" w:hAnsi="David"/>
          <w:rtl/>
          <w:lang w:eastAsia="he-IL"/>
        </w:rPr>
        <w:t xml:space="preserve"> במשך כארבע שנים</w:t>
      </w:r>
      <w:r w:rsidR="00326BFD" w:rsidRPr="00627CBA">
        <w:rPr>
          <w:rFonts w:ascii="David" w:hAnsi="David" w:hint="cs"/>
          <w:rtl/>
          <w:lang w:eastAsia="he-IL"/>
        </w:rPr>
        <w:t xml:space="preserve"> נוספות</w:t>
      </w:r>
      <w:r w:rsidRPr="00627CBA">
        <w:rPr>
          <w:rFonts w:ascii="David" w:hAnsi="David"/>
          <w:rtl/>
          <w:lang w:eastAsia="he-IL"/>
        </w:rPr>
        <w:t xml:space="preserve">, באותה התנהלות </w:t>
      </w:r>
      <w:r w:rsidR="00326BFD" w:rsidRPr="00627CBA">
        <w:rPr>
          <w:rFonts w:ascii="David" w:hAnsi="David" w:hint="cs"/>
          <w:rtl/>
          <w:lang w:eastAsia="he-IL"/>
        </w:rPr>
        <w:t xml:space="preserve">בלתי חוקית </w:t>
      </w:r>
      <w:r w:rsidRPr="00627CBA">
        <w:rPr>
          <w:rFonts w:ascii="David" w:hAnsi="David"/>
          <w:rtl/>
          <w:lang w:eastAsia="he-IL"/>
        </w:rPr>
        <w:t xml:space="preserve">אסורה של חיפוש לא מוסמך ולא מוגבל בטלפונים </w:t>
      </w:r>
      <w:r w:rsidR="00100F6D" w:rsidRPr="00627CBA">
        <w:rPr>
          <w:rFonts w:ascii="David" w:hAnsi="David" w:hint="cs"/>
          <w:rtl/>
          <w:lang w:eastAsia="he-IL"/>
        </w:rPr>
        <w:t>ניידים</w:t>
      </w:r>
      <w:r w:rsidRPr="00627CBA">
        <w:rPr>
          <w:rFonts w:ascii="David" w:hAnsi="David"/>
          <w:rtl/>
          <w:lang w:eastAsia="he-IL"/>
        </w:rPr>
        <w:t xml:space="preserve"> של המבקשים לבוא בשערי</w:t>
      </w:r>
      <w:r w:rsidR="00326BFD" w:rsidRPr="00627CBA">
        <w:rPr>
          <w:rFonts w:ascii="David" w:hAnsi="David" w:hint="cs"/>
          <w:rtl/>
          <w:lang w:eastAsia="he-IL"/>
        </w:rPr>
        <w:t xml:space="preserve"> </w:t>
      </w:r>
      <w:r w:rsidRPr="00627CBA">
        <w:rPr>
          <w:rFonts w:ascii="David" w:hAnsi="David"/>
          <w:rtl/>
          <w:lang w:eastAsia="he-IL"/>
        </w:rPr>
        <w:t>ה</w:t>
      </w:r>
      <w:r w:rsidR="00326BFD" w:rsidRPr="00627CBA">
        <w:rPr>
          <w:rFonts w:ascii="David" w:hAnsi="David" w:hint="cs"/>
          <w:rtl/>
          <w:lang w:eastAsia="he-IL"/>
        </w:rPr>
        <w:t>מדינה</w:t>
      </w:r>
      <w:r w:rsidRPr="00627CBA">
        <w:rPr>
          <w:rFonts w:ascii="David" w:hAnsi="David"/>
          <w:rtl/>
          <w:lang w:eastAsia="he-IL"/>
        </w:rPr>
        <w:t>.</w:t>
      </w:r>
    </w:p>
    <w:p w:rsidR="00DD1BCD" w:rsidRPr="00A41FC0" w:rsidRDefault="00DD1BCD" w:rsidP="00DD1BCD">
      <w:pPr>
        <w:tabs>
          <w:tab w:val="left" w:pos="793"/>
        </w:tabs>
        <w:spacing w:line="360" w:lineRule="auto"/>
        <w:contextualSpacing/>
        <w:jc w:val="both"/>
        <w:rPr>
          <w:rFonts w:ascii="David" w:hAnsi="David"/>
          <w:rtl/>
          <w:lang w:eastAsia="he-IL"/>
        </w:rPr>
      </w:pPr>
    </w:p>
    <w:p w:rsidR="00DD1BCD" w:rsidRPr="00A41FC0" w:rsidRDefault="00DD1BCD" w:rsidP="00DD1BCD">
      <w:pPr>
        <w:numPr>
          <w:ilvl w:val="0"/>
          <w:numId w:val="1"/>
        </w:numPr>
        <w:tabs>
          <w:tab w:val="left" w:pos="793"/>
        </w:tabs>
        <w:spacing w:before="240" w:line="360" w:lineRule="auto"/>
        <w:contextualSpacing/>
        <w:jc w:val="both"/>
        <w:rPr>
          <w:rFonts w:ascii="David" w:hAnsi="David"/>
          <w:lang w:eastAsia="he-IL"/>
        </w:rPr>
      </w:pPr>
      <w:r w:rsidRPr="00A41FC0">
        <w:rPr>
          <w:rFonts w:ascii="David" w:hAnsi="David"/>
          <w:rtl/>
          <w:lang w:eastAsia="he-IL"/>
        </w:rPr>
        <w:t>טיעון דומה של הסכמה לכאורה העלתה הרשות בנוגע למתן הסכמה של תושבי אוקראינה לעזוב את הארץ לאלתר, בעקבות קביעתי כי יש להשאירם בארץ לפחות 48 שעות לצורך אפשרות היוועצות בעו"ד ונקיטה בהליכים משפטיים (עמ"נ 389-04-22</w:t>
      </w:r>
      <w:r>
        <w:rPr>
          <w:rFonts w:ascii="David" w:hAnsi="David"/>
          <w:rtl/>
          <w:lang w:eastAsia="he-IL"/>
        </w:rPr>
        <w:t xml:space="preserve"> </w:t>
      </w:r>
      <w:r w:rsidRPr="00A41FC0">
        <w:rPr>
          <w:rFonts w:ascii="David" w:hAnsi="David"/>
          <w:b/>
          <w:bCs/>
          <w:lang w:eastAsia="he-IL"/>
        </w:rPr>
        <w:t>Kristina B.</w:t>
      </w:r>
      <w:r w:rsidRPr="00A41FC0">
        <w:rPr>
          <w:rFonts w:ascii="David" w:hAnsi="David"/>
          <w:b/>
          <w:bCs/>
          <w:rtl/>
          <w:lang w:eastAsia="he-IL"/>
        </w:rPr>
        <w:t xml:space="preserve"> </w:t>
      </w:r>
      <w:r w:rsidRPr="00A41FC0">
        <w:rPr>
          <w:rFonts w:ascii="David" w:hAnsi="David" w:hint="cs"/>
          <w:b/>
          <w:bCs/>
          <w:rtl/>
          <w:lang w:eastAsia="he-IL"/>
        </w:rPr>
        <w:t>נ' רשות האוכלוסין וההגירה במשרד הפנים</w:t>
      </w:r>
      <w:r w:rsidRPr="00A41FC0">
        <w:rPr>
          <w:rFonts w:ascii="David" w:hAnsi="David"/>
          <w:rtl/>
          <w:lang w:eastAsia="he-IL"/>
        </w:rPr>
        <w:t xml:space="preserve">, להלן: </w:t>
      </w:r>
      <w:r w:rsidRPr="00A41FC0">
        <w:rPr>
          <w:rFonts w:ascii="David" w:hAnsi="David"/>
          <w:b/>
          <w:bCs/>
          <w:rtl/>
          <w:lang w:eastAsia="he-IL"/>
        </w:rPr>
        <w:t xml:space="preserve">עניין קריסטינה </w:t>
      </w:r>
      <w:r w:rsidRPr="00A41FC0">
        <w:rPr>
          <w:rFonts w:ascii="David" w:hAnsi="David"/>
          <w:b/>
          <w:bCs/>
          <w:lang w:eastAsia="he-IL"/>
        </w:rPr>
        <w:t>B</w:t>
      </w:r>
      <w:r w:rsidRPr="00A41FC0">
        <w:rPr>
          <w:rFonts w:ascii="David" w:hAnsi="David"/>
          <w:b/>
          <w:bCs/>
          <w:rtl/>
          <w:lang w:eastAsia="he-IL"/>
        </w:rPr>
        <w:t>,</w:t>
      </w:r>
      <w:r w:rsidRPr="00A41FC0">
        <w:rPr>
          <w:rFonts w:ascii="David" w:hAnsi="David"/>
          <w:rtl/>
          <w:lang w:eastAsia="he-IL"/>
        </w:rPr>
        <w:t xml:space="preserve"> החלטה משלימה, נבו, 8.6.22).</w:t>
      </w:r>
    </w:p>
    <w:p w:rsidR="00DD1BCD" w:rsidRPr="00A41FC0" w:rsidRDefault="00DD1BCD" w:rsidP="00DD1BCD">
      <w:pPr>
        <w:tabs>
          <w:tab w:val="left" w:pos="793"/>
        </w:tabs>
        <w:spacing w:line="360" w:lineRule="auto"/>
        <w:contextualSpacing/>
        <w:jc w:val="both"/>
        <w:rPr>
          <w:rFonts w:ascii="David" w:hAnsi="David"/>
          <w:rtl/>
          <w:lang w:eastAsia="he-IL"/>
        </w:rPr>
      </w:pPr>
    </w:p>
    <w:p w:rsidR="00DD1BCD" w:rsidRDefault="00DD1BCD" w:rsidP="00326BFD">
      <w:pPr>
        <w:numPr>
          <w:ilvl w:val="0"/>
          <w:numId w:val="1"/>
        </w:numPr>
        <w:tabs>
          <w:tab w:val="left" w:pos="793"/>
        </w:tabs>
        <w:spacing w:before="240" w:line="360" w:lineRule="auto"/>
        <w:contextualSpacing/>
        <w:jc w:val="both"/>
        <w:rPr>
          <w:rFonts w:ascii="David" w:hAnsi="David"/>
          <w:lang w:eastAsia="he-IL"/>
        </w:rPr>
      </w:pPr>
      <w:r w:rsidRPr="00A41FC0">
        <w:rPr>
          <w:rFonts w:ascii="David" w:hAnsi="David"/>
          <w:rtl/>
          <w:lang w:eastAsia="he-IL"/>
        </w:rPr>
        <w:t xml:space="preserve">כפי שקבעתי שם, לא ניתן לראות בהסכמה, גם בהנחה שזו ניתנה לכאורה, כהסכמה חופשית ומרצון. </w:t>
      </w:r>
      <w:r w:rsidR="00326BFD">
        <w:rPr>
          <w:rFonts w:ascii="David" w:hAnsi="David" w:hint="cs"/>
          <w:rtl/>
          <w:lang w:eastAsia="he-IL"/>
        </w:rPr>
        <w:t>שוו לנגד עיניכם את מצב הדברים:</w:t>
      </w:r>
      <w:r w:rsidRPr="00A41FC0">
        <w:rPr>
          <w:rFonts w:ascii="David" w:hAnsi="David"/>
          <w:rtl/>
          <w:lang w:eastAsia="he-IL"/>
        </w:rPr>
        <w:t xml:space="preserve"> מגיע זוג המעוניין לחגוג בישראל עם קרובים את השנה האזרחית החדשה. נציגת הרשות עורכת תשאול, </w:t>
      </w:r>
      <w:r w:rsidR="00326BFD">
        <w:rPr>
          <w:rFonts w:ascii="David" w:hAnsi="David" w:hint="cs"/>
          <w:rtl/>
          <w:lang w:eastAsia="he-IL"/>
        </w:rPr>
        <w:t xml:space="preserve">היא זו שלפי הבנתם תכריע אם יכנסו לישראל לחופשה המתוכננת, או יושבו ריקם בבושת פנים, ואותה נציגת הרשות </w:t>
      </w:r>
      <w:r w:rsidRPr="00A41FC0">
        <w:rPr>
          <w:rFonts w:ascii="David" w:hAnsi="David"/>
          <w:rtl/>
          <w:lang w:eastAsia="he-IL"/>
        </w:rPr>
        <w:t xml:space="preserve">מבקשת את הטלפון </w:t>
      </w:r>
      <w:r w:rsidR="00100F6D">
        <w:rPr>
          <w:rFonts w:ascii="David" w:hAnsi="David" w:hint="cs"/>
          <w:rtl/>
          <w:lang w:eastAsia="he-IL"/>
        </w:rPr>
        <w:t>הנייד</w:t>
      </w:r>
      <w:r w:rsidRPr="00A41FC0">
        <w:rPr>
          <w:rFonts w:ascii="David" w:hAnsi="David"/>
          <w:rtl/>
          <w:lang w:eastAsia="he-IL"/>
        </w:rPr>
        <w:t>. ומה יגידו המערערים?</w:t>
      </w:r>
      <w:r w:rsidR="00326BFD">
        <w:rPr>
          <w:rFonts w:ascii="David" w:hAnsi="David" w:hint="cs"/>
          <w:rtl/>
          <w:lang w:eastAsia="he-IL"/>
        </w:rPr>
        <w:t xml:space="preserve"> יסרבו? כנראה שלא, כיוון ש</w:t>
      </w:r>
      <w:r w:rsidRPr="00A41FC0">
        <w:rPr>
          <w:rFonts w:ascii="David" w:hAnsi="David"/>
          <w:rtl/>
          <w:lang w:eastAsia="he-IL"/>
        </w:rPr>
        <w:t>יחששו בוודאי כי אם יסרבו תסורב כניסתם לישראל</w:t>
      </w:r>
      <w:r w:rsidR="00326BFD">
        <w:rPr>
          <w:rFonts w:ascii="David" w:hAnsi="David" w:hint="cs"/>
          <w:rtl/>
          <w:lang w:eastAsia="he-IL"/>
        </w:rPr>
        <w:t>. על כן, ורק לאור חשש זה</w:t>
      </w:r>
      <w:r w:rsidRPr="00A41FC0">
        <w:rPr>
          <w:rFonts w:ascii="David" w:hAnsi="David"/>
          <w:rtl/>
          <w:lang w:eastAsia="he-IL"/>
        </w:rPr>
        <w:t xml:space="preserve"> הם נענים לבקשה. בכך אין לראות הסכמה כלל, ודאי לא לביצוע חיפוש</w:t>
      </w:r>
      <w:r w:rsidR="00326BFD">
        <w:rPr>
          <w:rFonts w:ascii="David" w:hAnsi="David" w:hint="cs"/>
          <w:rtl/>
          <w:lang w:eastAsia="he-IL"/>
        </w:rPr>
        <w:t xml:space="preserve"> בטלפון הנייד</w:t>
      </w:r>
      <w:r w:rsidRPr="00A41FC0">
        <w:rPr>
          <w:rFonts w:ascii="David" w:hAnsi="David"/>
          <w:rtl/>
          <w:lang w:eastAsia="he-IL"/>
        </w:rPr>
        <w:t xml:space="preserve">, המוגבל בחוק ובפסיקה אף במקרה של </w:t>
      </w:r>
      <w:r w:rsidR="00326BFD">
        <w:rPr>
          <w:rFonts w:ascii="David" w:hAnsi="David" w:hint="cs"/>
          <w:rtl/>
          <w:lang w:eastAsia="he-IL"/>
        </w:rPr>
        <w:t>חקירת משטרה ב</w:t>
      </w:r>
      <w:r w:rsidRPr="00A41FC0">
        <w:rPr>
          <w:rFonts w:ascii="David" w:hAnsi="David"/>
          <w:rtl/>
          <w:lang w:eastAsia="he-IL"/>
        </w:rPr>
        <w:t>חשד לפלילים.</w:t>
      </w:r>
    </w:p>
    <w:p w:rsidR="00627CBA" w:rsidRDefault="00627CBA" w:rsidP="00627CBA">
      <w:pPr>
        <w:pStyle w:val="ad"/>
        <w:rPr>
          <w:rFonts w:ascii="David" w:hAnsi="David"/>
          <w:rtl/>
          <w:lang w:eastAsia="he-IL"/>
        </w:rPr>
      </w:pPr>
    </w:p>
    <w:p w:rsidR="00627CBA" w:rsidRDefault="00627CBA" w:rsidP="00627CBA">
      <w:pPr>
        <w:tabs>
          <w:tab w:val="left" w:pos="793"/>
        </w:tabs>
        <w:spacing w:before="240" w:line="360" w:lineRule="auto"/>
        <w:contextualSpacing/>
        <w:jc w:val="both"/>
        <w:rPr>
          <w:rFonts w:ascii="David" w:hAnsi="David"/>
          <w:lang w:eastAsia="he-IL"/>
        </w:rPr>
      </w:pPr>
    </w:p>
    <w:p w:rsidR="00DD1BCD" w:rsidRPr="00A41FC0" w:rsidRDefault="00DD1BCD" w:rsidP="00DD1BCD">
      <w:pPr>
        <w:spacing w:before="240"/>
        <w:ind w:left="720"/>
        <w:contextualSpacing/>
        <w:jc w:val="both"/>
        <w:rPr>
          <w:rFonts w:ascii="David" w:hAnsi="David"/>
          <w:lang w:eastAsia="he-IL"/>
        </w:rPr>
      </w:pPr>
    </w:p>
    <w:p w:rsidR="00DD1BCD" w:rsidRPr="00A41FC0" w:rsidRDefault="00DD1BCD" w:rsidP="00FF2ABD">
      <w:pPr>
        <w:numPr>
          <w:ilvl w:val="0"/>
          <w:numId w:val="1"/>
        </w:numPr>
        <w:tabs>
          <w:tab w:val="left" w:pos="793"/>
        </w:tabs>
        <w:spacing w:before="240" w:line="360" w:lineRule="auto"/>
        <w:contextualSpacing/>
        <w:jc w:val="both"/>
        <w:rPr>
          <w:rFonts w:ascii="David" w:hAnsi="David"/>
          <w:rtl/>
          <w:lang w:eastAsia="he-IL"/>
        </w:rPr>
      </w:pPr>
      <w:r w:rsidRPr="00A41FC0">
        <w:rPr>
          <w:rFonts w:ascii="David" w:hAnsi="David"/>
          <w:rtl/>
          <w:lang w:eastAsia="he-IL"/>
        </w:rPr>
        <w:t xml:space="preserve">יפים לעניין זה דבריו של </w:t>
      </w:r>
      <w:r w:rsidRPr="00A41FC0">
        <w:rPr>
          <w:rFonts w:ascii="David" w:hAnsi="David"/>
          <w:b/>
          <w:bCs/>
          <w:rtl/>
          <w:lang w:eastAsia="he-IL"/>
        </w:rPr>
        <w:t>בירנהק, פרטיות חוקתית</w:t>
      </w:r>
      <w:r w:rsidRPr="00A41FC0">
        <w:rPr>
          <w:rFonts w:ascii="David" w:hAnsi="David"/>
          <w:rtl/>
          <w:lang w:eastAsia="he-IL"/>
        </w:rPr>
        <w:t xml:space="preserve"> </w:t>
      </w:r>
      <w:r w:rsidR="00FF2ABD">
        <w:rPr>
          <w:rFonts w:ascii="David" w:hAnsi="David" w:hint="cs"/>
          <w:rtl/>
          <w:lang w:eastAsia="he-IL"/>
        </w:rPr>
        <w:t>(</w:t>
      </w:r>
      <w:r w:rsidR="00FF2ABD">
        <w:rPr>
          <w:rFonts w:ascii="David" w:hAnsi="David"/>
          <w:rtl/>
          <w:lang w:eastAsia="he-IL"/>
        </w:rPr>
        <w:t>שם בעמ' 381</w:t>
      </w:r>
      <w:r w:rsidR="00FF2ABD">
        <w:rPr>
          <w:rFonts w:ascii="David" w:hAnsi="David" w:hint="cs"/>
          <w:rtl/>
          <w:lang w:eastAsia="he-IL"/>
        </w:rPr>
        <w:t>):</w:t>
      </w:r>
    </w:p>
    <w:p w:rsidR="00DD1BCD" w:rsidRPr="00A41FC0" w:rsidRDefault="00DD1BCD" w:rsidP="00E439FA">
      <w:pPr>
        <w:tabs>
          <w:tab w:val="left" w:pos="793"/>
        </w:tabs>
        <w:ind w:left="567" w:right="567"/>
        <w:contextualSpacing/>
        <w:jc w:val="both"/>
        <w:rPr>
          <w:rFonts w:ascii="David" w:hAnsi="David"/>
          <w:b/>
          <w:bCs/>
          <w:rtl/>
          <w:lang w:eastAsia="he-IL"/>
        </w:rPr>
      </w:pPr>
      <w:r w:rsidRPr="00A41FC0">
        <w:rPr>
          <w:rFonts w:ascii="David" w:hAnsi="David"/>
          <w:b/>
          <w:bCs/>
          <w:rtl/>
          <w:lang w:eastAsia="he-IL"/>
        </w:rPr>
        <w:t>"לא כל הסכמה תקפה. כדי שהסכמה תהיה תקפה, היא צריכה להיות מדעת – כדרישת החוק, כלומר היא צריכה להתבסס על מידע מספיק, שנושא המידע יכול להבינו. במובן הזה, ההסכמה דומה ל"הסכמה מדעת" בהקשר הרפואי. ההסכמה צריכה להיות מרצון חופשי. במצבים של פערי כוח מוּבְנים בין הצדדים, ההסכמה חשודה"</w:t>
      </w:r>
    </w:p>
    <w:p w:rsidR="00DD1BCD" w:rsidRPr="00A41FC0" w:rsidRDefault="00DD1BCD" w:rsidP="00DD1BCD">
      <w:pPr>
        <w:tabs>
          <w:tab w:val="left" w:pos="793"/>
        </w:tabs>
        <w:contextualSpacing/>
        <w:jc w:val="both"/>
        <w:rPr>
          <w:rFonts w:ascii="David" w:hAnsi="David"/>
          <w:rtl/>
          <w:lang w:eastAsia="he-IL"/>
        </w:rPr>
      </w:pPr>
    </w:p>
    <w:p w:rsidR="004403E5" w:rsidRDefault="004403E5" w:rsidP="00DD1BCD">
      <w:pPr>
        <w:tabs>
          <w:tab w:val="left" w:pos="793"/>
        </w:tabs>
        <w:contextualSpacing/>
        <w:jc w:val="both"/>
        <w:rPr>
          <w:rFonts w:ascii="David" w:hAnsi="David"/>
          <w:rtl/>
          <w:lang w:eastAsia="he-IL"/>
        </w:rPr>
      </w:pPr>
    </w:p>
    <w:p w:rsidR="00DD1BCD" w:rsidRPr="00A41FC0" w:rsidRDefault="00DD1BCD" w:rsidP="00DD1BCD">
      <w:pPr>
        <w:tabs>
          <w:tab w:val="left" w:pos="793"/>
        </w:tabs>
        <w:contextualSpacing/>
        <w:jc w:val="both"/>
        <w:rPr>
          <w:rFonts w:ascii="David" w:hAnsi="David"/>
          <w:rtl/>
          <w:lang w:eastAsia="he-IL"/>
        </w:rPr>
      </w:pPr>
      <w:r w:rsidRPr="00A41FC0">
        <w:rPr>
          <w:rFonts w:ascii="David" w:hAnsi="David"/>
          <w:rtl/>
          <w:lang w:eastAsia="he-IL"/>
        </w:rPr>
        <w:t>ומוסיף (בעמ' 383-382):</w:t>
      </w:r>
    </w:p>
    <w:p w:rsidR="00DD1BCD" w:rsidRPr="00A41FC0" w:rsidRDefault="00DD1BCD" w:rsidP="00DD1BCD">
      <w:pPr>
        <w:tabs>
          <w:tab w:val="left" w:pos="793"/>
        </w:tabs>
        <w:ind w:left="567" w:right="567"/>
        <w:contextualSpacing/>
        <w:jc w:val="both"/>
        <w:rPr>
          <w:rFonts w:ascii="David" w:hAnsi="David"/>
          <w:b/>
          <w:bCs/>
          <w:rtl/>
          <w:lang w:eastAsia="he-IL"/>
        </w:rPr>
      </w:pPr>
      <w:r w:rsidRPr="00A41FC0">
        <w:rPr>
          <w:rFonts w:ascii="David" w:hAnsi="David"/>
          <w:b/>
          <w:bCs/>
          <w:rtl/>
          <w:lang w:eastAsia="he-IL"/>
        </w:rPr>
        <w:t>"בין המדינה לבין האזרחים יש פערי כוח ברורים ומובְנים אין מדובר ביחסים שווים בין אדם לזולת...... הסכמה של אזרח למסירת פרטים לגוף ציבורי חשודה מיסודה: ספק אם היא משקפת הסכמה מרצון חופשי. לאזרחית קשה מאוד להתעמת עם המדינה ולומר "אני מסרבת למסור מידע" כאשר היא זקוקה לשירות חיוני, או נדרשת לבצע פעולות מסוימות מול המדינה.... בהתאם: במצבים של פערי כוח בין האזרח לבין המדינה, פערים שמתקיימים כמעט תמיד, הסכמה של אדם לוויתור על פרטיותו היא הסכמה חשודה, גם אם היא הסכמה מודעת ומדעת, ולכן, ברוב המקרים, אין לראות בה הסכמה תקפה.... התוצאה היא שכאשר אזרח מוותר על פרטיותו מול המדינה, קמה חזקה שהסכמה זו אינה תקפה".</w:t>
      </w:r>
    </w:p>
    <w:p w:rsidR="00DD1BCD" w:rsidRPr="00A41FC0" w:rsidRDefault="00DD1BCD" w:rsidP="00DD1BCD">
      <w:pPr>
        <w:tabs>
          <w:tab w:val="left" w:pos="793"/>
        </w:tabs>
        <w:contextualSpacing/>
        <w:jc w:val="both"/>
        <w:rPr>
          <w:rFonts w:ascii="David" w:hAnsi="David"/>
          <w:lang w:eastAsia="he-IL"/>
        </w:rPr>
      </w:pPr>
    </w:p>
    <w:p w:rsidR="00DD1BCD" w:rsidRPr="00A41FC0" w:rsidRDefault="00DD1BCD" w:rsidP="00DD1BCD">
      <w:pPr>
        <w:tabs>
          <w:tab w:val="left" w:pos="793"/>
        </w:tabs>
        <w:spacing w:line="360" w:lineRule="auto"/>
        <w:contextualSpacing/>
        <w:jc w:val="both"/>
        <w:rPr>
          <w:rFonts w:ascii="David" w:hAnsi="David"/>
          <w:rtl/>
          <w:lang w:eastAsia="he-IL"/>
        </w:rPr>
      </w:pPr>
      <w:r w:rsidRPr="00A41FC0">
        <w:rPr>
          <w:rFonts w:ascii="David" w:hAnsi="David"/>
          <w:rtl/>
          <w:lang w:eastAsia="he-IL"/>
        </w:rPr>
        <w:t xml:space="preserve">ברק מדינה, </w:t>
      </w:r>
      <w:r w:rsidRPr="004114A5">
        <w:rPr>
          <w:rFonts w:ascii="David" w:hAnsi="David"/>
          <w:b/>
          <w:bCs/>
          <w:rtl/>
          <w:lang w:eastAsia="he-IL"/>
        </w:rPr>
        <w:t>דיני זכויות אדם בישראל</w:t>
      </w:r>
      <w:r w:rsidRPr="00A41FC0">
        <w:rPr>
          <w:rFonts w:ascii="David" w:hAnsi="David"/>
          <w:rtl/>
          <w:lang w:eastAsia="he-IL"/>
        </w:rPr>
        <w:t>, 91 (2016), מגיע למסקנה דומה:</w:t>
      </w:r>
    </w:p>
    <w:p w:rsidR="00DD1BCD" w:rsidRDefault="00DD1BCD" w:rsidP="00DD1BCD">
      <w:pPr>
        <w:tabs>
          <w:tab w:val="left" w:pos="793"/>
        </w:tabs>
        <w:ind w:left="567" w:right="567"/>
        <w:contextualSpacing/>
        <w:jc w:val="both"/>
        <w:rPr>
          <w:rFonts w:ascii="David" w:hAnsi="David"/>
          <w:b/>
          <w:bCs/>
          <w:rtl/>
          <w:lang w:eastAsia="he-IL"/>
        </w:rPr>
      </w:pPr>
      <w:r w:rsidRPr="00A41FC0">
        <w:rPr>
          <w:rFonts w:ascii="David" w:hAnsi="David"/>
          <w:b/>
          <w:bCs/>
          <w:rtl/>
          <w:lang w:eastAsia="he-IL"/>
        </w:rPr>
        <w:t>"לפיכך נקבעה חזקה (הניתנת לסתירה על פי רוב רק בשלב השני של הבדיקה החוקתית), שלפיה גריעה מאינטרסים חשובים של הפרט היא פגיעה בזכות אדם אף אם הפרט נתן לכך את הסכמתו".</w:t>
      </w:r>
    </w:p>
    <w:p w:rsidR="004403E5" w:rsidRPr="00A41FC0" w:rsidRDefault="004403E5" w:rsidP="00DD1BCD">
      <w:pPr>
        <w:tabs>
          <w:tab w:val="left" w:pos="793"/>
        </w:tabs>
        <w:ind w:left="567" w:right="567"/>
        <w:contextualSpacing/>
        <w:jc w:val="both"/>
        <w:rPr>
          <w:rFonts w:ascii="David" w:hAnsi="David"/>
          <w:b/>
          <w:bCs/>
          <w:rtl/>
          <w:lang w:eastAsia="he-IL"/>
        </w:rPr>
      </w:pPr>
    </w:p>
    <w:p w:rsidR="00DD1BCD" w:rsidRPr="00A41FC0" w:rsidRDefault="00DD1BCD" w:rsidP="00DD1BCD">
      <w:pPr>
        <w:tabs>
          <w:tab w:val="left" w:pos="793"/>
        </w:tabs>
        <w:ind w:left="567" w:right="567"/>
        <w:contextualSpacing/>
        <w:jc w:val="both"/>
        <w:rPr>
          <w:rFonts w:ascii="David" w:hAnsi="David"/>
          <w:b/>
          <w:bCs/>
          <w:rtl/>
          <w:lang w:eastAsia="he-IL"/>
        </w:rPr>
      </w:pPr>
    </w:p>
    <w:p w:rsidR="004403E5" w:rsidRPr="004403E5" w:rsidRDefault="004403E5" w:rsidP="004403E5">
      <w:pPr>
        <w:pStyle w:val="ad"/>
        <w:numPr>
          <w:ilvl w:val="0"/>
          <w:numId w:val="1"/>
        </w:numPr>
        <w:tabs>
          <w:tab w:val="left" w:pos="793"/>
        </w:tabs>
        <w:spacing w:line="360" w:lineRule="auto"/>
        <w:jc w:val="both"/>
        <w:rPr>
          <w:rFonts w:ascii="David" w:hAnsi="David"/>
          <w:rtl/>
          <w:lang w:eastAsia="he-IL"/>
        </w:rPr>
      </w:pPr>
      <w:r w:rsidRPr="004403E5">
        <w:rPr>
          <w:rFonts w:ascii="David" w:hAnsi="David" w:hint="cs"/>
          <w:b/>
          <w:bCs/>
          <w:rtl/>
          <w:lang w:eastAsia="he-IL"/>
        </w:rPr>
        <w:t>בירנהק, פרטיות חוקתית</w:t>
      </w:r>
      <w:r w:rsidRPr="004403E5">
        <w:rPr>
          <w:rFonts w:ascii="David" w:hAnsi="David" w:hint="cs"/>
          <w:rtl/>
          <w:lang w:eastAsia="he-IL"/>
        </w:rPr>
        <w:t xml:space="preserve">, מדבר על אזרחים, אולם דבריו יפים, בהקשר שלפניי גם למי שמבקשים להיכנס בשערי ישראל. אבחנות שעושה המחבר בהמשך,  למשל בין תיירים למבקשי מקלט, אינם מענייננו. שיקולים אלו נדרשים לגיבוש כללי סמכות, אולם אין להם מקום במקרה בו לרשות עצמה אין כל סמכות לערוך חיפוש בטלפון נייד. </w:t>
      </w:r>
    </w:p>
    <w:p w:rsidR="00DD1BCD" w:rsidRPr="00A41FC0" w:rsidRDefault="00DD1BCD" w:rsidP="00DD1BCD">
      <w:pPr>
        <w:numPr>
          <w:ilvl w:val="0"/>
          <w:numId w:val="1"/>
        </w:numPr>
        <w:tabs>
          <w:tab w:val="left" w:pos="793"/>
        </w:tabs>
        <w:spacing w:before="240" w:line="360" w:lineRule="auto"/>
        <w:contextualSpacing/>
        <w:jc w:val="both"/>
        <w:rPr>
          <w:noProof w:val="0"/>
          <w:rtl/>
        </w:rPr>
      </w:pPr>
      <w:r w:rsidRPr="00A41FC0">
        <w:rPr>
          <w:rFonts w:ascii="David" w:hAnsi="David"/>
          <w:rtl/>
          <w:lang w:eastAsia="he-IL"/>
        </w:rPr>
        <w:t xml:space="preserve">כפי שציינתי </w:t>
      </w:r>
      <w:r w:rsidRPr="00A41FC0">
        <w:rPr>
          <w:rFonts w:ascii="David" w:hAnsi="David"/>
          <w:b/>
          <w:bCs/>
          <w:rtl/>
          <w:lang w:eastAsia="he-IL"/>
        </w:rPr>
        <w:t xml:space="preserve">בעניין קריסטינה </w:t>
      </w:r>
      <w:r w:rsidRPr="00A41FC0">
        <w:rPr>
          <w:rFonts w:ascii="David" w:hAnsi="David"/>
          <w:b/>
          <w:bCs/>
          <w:lang w:eastAsia="he-IL"/>
        </w:rPr>
        <w:t>B</w:t>
      </w:r>
      <w:r w:rsidRPr="00A41FC0">
        <w:rPr>
          <w:rFonts w:ascii="David" w:hAnsi="David"/>
          <w:b/>
          <w:bCs/>
          <w:rtl/>
          <w:lang w:eastAsia="he-IL"/>
        </w:rPr>
        <w:t>,</w:t>
      </w:r>
      <w:r w:rsidRPr="00A41FC0">
        <w:rPr>
          <w:rFonts w:ascii="David" w:hAnsi="David"/>
          <w:rtl/>
          <w:lang w:eastAsia="he-IL"/>
        </w:rPr>
        <w:t xml:space="preserve"> ערה אני להלכת בן חיים</w:t>
      </w:r>
      <w:r>
        <w:rPr>
          <w:rFonts w:ascii="David" w:hAnsi="David"/>
          <w:rtl/>
          <w:lang w:eastAsia="he-IL"/>
        </w:rPr>
        <w:t xml:space="preserve"> </w:t>
      </w:r>
      <w:r w:rsidRPr="00A41FC0">
        <w:rPr>
          <w:rFonts w:ascii="David" w:hAnsi="David"/>
          <w:rtl/>
          <w:lang w:eastAsia="he-IL"/>
        </w:rPr>
        <w:t xml:space="preserve">(עש"ם 4790/04‏ </w:t>
      </w:r>
      <w:r w:rsidRPr="00A41FC0">
        <w:rPr>
          <w:rFonts w:ascii="David" w:hAnsi="David"/>
          <w:b/>
          <w:bCs/>
          <w:rtl/>
          <w:lang w:eastAsia="he-IL"/>
        </w:rPr>
        <w:t>מדינת ישראל נ' אברהם בן-חיים</w:t>
      </w:r>
      <w:r w:rsidRPr="00A41FC0">
        <w:rPr>
          <w:rFonts w:ascii="David" w:hAnsi="David"/>
          <w:rtl/>
          <w:lang w:eastAsia="he-IL"/>
        </w:rPr>
        <w:t xml:space="preserve">, פ"ד ס(1) 257, 268 (2005, להלן: </w:t>
      </w:r>
      <w:r w:rsidRPr="00A41FC0">
        <w:rPr>
          <w:rFonts w:ascii="David" w:hAnsi="David"/>
          <w:b/>
          <w:bCs/>
          <w:rtl/>
          <w:lang w:eastAsia="he-IL"/>
        </w:rPr>
        <w:t>עניין בן חיים</w:t>
      </w:r>
      <w:r w:rsidRPr="00A41FC0">
        <w:rPr>
          <w:rFonts w:ascii="David" w:hAnsi="David"/>
          <w:rtl/>
          <w:lang w:eastAsia="he-IL"/>
        </w:rPr>
        <w:t>), בה נקבע כי הסכמת חשוד לחיפוש לאחר הסבר מפי השוטר</w:t>
      </w:r>
      <w:r>
        <w:rPr>
          <w:rFonts w:ascii="David" w:hAnsi="David" w:hint="cs"/>
          <w:rtl/>
          <w:lang w:eastAsia="he-IL"/>
        </w:rPr>
        <w:t>,</w:t>
      </w:r>
      <w:r w:rsidRPr="00A41FC0">
        <w:rPr>
          <w:rFonts w:ascii="David" w:hAnsi="David"/>
          <w:rtl/>
          <w:lang w:eastAsia="he-IL"/>
        </w:rPr>
        <w:t xml:space="preserve"> </w:t>
      </w:r>
      <w:r w:rsidR="008B2E36">
        <w:rPr>
          <w:rFonts w:ascii="David" w:hAnsi="David" w:hint="cs"/>
          <w:rtl/>
          <w:lang w:eastAsia="he-IL"/>
        </w:rPr>
        <w:t xml:space="preserve">הסכמת אמת, כלשונה של כב' הנשיאה דורית בייניש באותו עניין, </w:t>
      </w:r>
      <w:r w:rsidRPr="00A41FC0">
        <w:rPr>
          <w:rFonts w:ascii="David" w:hAnsi="David"/>
          <w:rtl/>
          <w:lang w:eastAsia="he-IL"/>
        </w:rPr>
        <w:t>יכולה להכשיר חיפוש. עם זאת, אני סבורה כי המקרה שלפניי אינו נכנס בגדרי הלכה זו.</w:t>
      </w:r>
      <w:r>
        <w:rPr>
          <w:rFonts w:ascii="David" w:hAnsi="David"/>
          <w:rtl/>
          <w:lang w:eastAsia="he-IL"/>
        </w:rPr>
        <w:t xml:space="preserve"> </w:t>
      </w:r>
      <w:r w:rsidRPr="00A41FC0">
        <w:rPr>
          <w:rFonts w:ascii="David" w:hAnsi="David"/>
          <w:rtl/>
          <w:lang w:eastAsia="he-IL"/>
        </w:rPr>
        <w:t xml:space="preserve">יפים לעניין זה דבריו של כב' השופט, כיום המשנה לנשיאה, השופט פוגלמן בבג"ץ 8425/13 </w:t>
      </w:r>
      <w:r w:rsidRPr="00A41FC0">
        <w:rPr>
          <w:rFonts w:ascii="David" w:hAnsi="David"/>
          <w:b/>
          <w:bCs/>
          <w:rtl/>
          <w:lang w:eastAsia="he-IL"/>
        </w:rPr>
        <w:t>איתן מדיניות הגירה ישראלית ואח' נ' ממשלת ישראל</w:t>
      </w:r>
      <w:r w:rsidRPr="00A41FC0">
        <w:rPr>
          <w:rFonts w:ascii="David" w:hAnsi="David"/>
          <w:rtl/>
          <w:lang w:eastAsia="he-IL"/>
        </w:rPr>
        <w:t xml:space="preserve">, פס' 112-111 (נבו 22.09.2014), בו דן בית המשפט העליון בהרכב מורחב בשאלה דומה של עזיבת אזרחי סודן, לטענת הרשות מרצון, את ישראל (בהתייחסו, בן השאר, </w:t>
      </w:r>
      <w:r w:rsidRPr="00A41FC0">
        <w:rPr>
          <w:rFonts w:ascii="David" w:hAnsi="David"/>
          <w:b/>
          <w:bCs/>
          <w:rtl/>
          <w:lang w:eastAsia="he-IL"/>
        </w:rPr>
        <w:t>לעניין בן חיים</w:t>
      </w:r>
      <w:r w:rsidRPr="00A41FC0">
        <w:rPr>
          <w:rFonts w:ascii="David" w:hAnsi="David"/>
          <w:rtl/>
          <w:lang w:eastAsia="he-IL"/>
        </w:rPr>
        <w:t>):</w:t>
      </w:r>
    </w:p>
    <w:p w:rsidR="00DD1BCD" w:rsidRPr="00A41FC0" w:rsidRDefault="00DD1BCD" w:rsidP="00DD1BCD">
      <w:pPr>
        <w:ind w:left="567" w:right="567"/>
        <w:contextualSpacing/>
        <w:jc w:val="both"/>
        <w:rPr>
          <w:noProof w:val="0"/>
          <w:rtl/>
        </w:rPr>
      </w:pPr>
      <w:r w:rsidRPr="00A41FC0">
        <w:rPr>
          <w:b/>
          <w:bCs/>
          <w:noProof w:val="0"/>
          <w:rtl/>
        </w:rPr>
        <w:t xml:space="preserve">"השאלה אם החלטתו של פרט לצאת למדינה שבה נשקפת סכנה לחייו או לחירותו היא פרי בחירה חופשית או שמא תוצר של כפייה אסורה – הופכת סבוכה ומורכבת .... להשקפתי, אבן הבוחן להכרעה בשאלה זו קשורה בקיומם – או בהעדרם – של אמצעים הדוחקים באדם לחזור למדינה שבה נשקפת לו סכנה. </w:t>
      </w:r>
      <w:r w:rsidRPr="00A41FC0">
        <w:rPr>
          <w:b/>
          <w:bCs/>
          <w:noProof w:val="0"/>
          <w:u w:val="single"/>
          <w:rtl/>
        </w:rPr>
        <w:t xml:space="preserve">יציאה מן הארץ יכולה אפוא להיחשב לגירוש אסור (ולא כיציאה מ"רצון חופשי") לא רק במצבים שבהם המדינה מורה באופן רשמי על גירושו של אדם, אלא גם כאשר המדינה נוקטת </w:t>
      </w:r>
      <w:r w:rsidRPr="00A41FC0">
        <w:rPr>
          <w:b/>
          <w:bCs/>
          <w:noProof w:val="0"/>
          <w:u w:val="single"/>
          <w:rtl/>
        </w:rPr>
        <w:lastRenderedPageBreak/>
        <w:t>אמצעים חריפים ופוגעניים במיוחד שנועדו להפעיל לחץ שיוביל ליציאה "רצונית" מהארץ.</w:t>
      </w:r>
      <w:r w:rsidRPr="00A41FC0">
        <w:rPr>
          <w:b/>
          <w:bCs/>
          <w:noProof w:val="0"/>
          <w:rtl/>
        </w:rPr>
        <w:t xml:space="preserve"> ואסביר</w:t>
      </w:r>
      <w:r w:rsidRPr="00A41FC0">
        <w:rPr>
          <w:noProof w:val="0"/>
          <w:rtl/>
        </w:rPr>
        <w:t>.</w:t>
      </w:r>
    </w:p>
    <w:p w:rsidR="00DD1BCD" w:rsidRPr="00A41FC0" w:rsidRDefault="00DD1BCD" w:rsidP="00DD1BCD">
      <w:pPr>
        <w:ind w:left="567" w:right="567"/>
        <w:contextualSpacing/>
        <w:jc w:val="both"/>
        <w:rPr>
          <w:b/>
          <w:bCs/>
          <w:noProof w:val="0"/>
          <w:rtl/>
        </w:rPr>
      </w:pPr>
      <w:r w:rsidRPr="00A41FC0">
        <w:rPr>
          <w:noProof w:val="0"/>
          <w:rtl/>
        </w:rPr>
        <w:t>111</w:t>
      </w:r>
      <w:r w:rsidRPr="00A41FC0">
        <w:rPr>
          <w:b/>
          <w:bCs/>
          <w:noProof w:val="0"/>
          <w:rtl/>
        </w:rPr>
        <w:t>.</w:t>
      </w:r>
      <w:r w:rsidRPr="00A41FC0">
        <w:rPr>
          <w:b/>
          <w:bCs/>
          <w:noProof w:val="0"/>
          <w:u w:val="single"/>
          <w:rtl/>
        </w:rPr>
        <w:t>בחירה חופשית תיתכן רק במקום שבו אדם סובריני לקבל החלטה מודעת ומושכלת מתוך מספר אפשרויות בנות-בחירה, שאינן מציבות אותו בפני מציאות חיים בלתי אפשרית. רעיון זה הוא עקרון יסוד בחשיבתנו המשפטית.</w:t>
      </w:r>
      <w:r w:rsidRPr="00A41FC0">
        <w:rPr>
          <w:b/>
          <w:bCs/>
          <w:noProof w:val="0"/>
          <w:rtl/>
        </w:rPr>
        <w:t xml:space="preserve"> הוא עובר בפסיקתנו כחוט השני [........] ברע"פ 10141/09 בן חיים נ' מדינת ישראל, [פורסם בנבו] פסקה 27 (6.3.2012) ("</w:t>
      </w:r>
      <w:r w:rsidRPr="00A41FC0">
        <w:rPr>
          <w:b/>
          <w:bCs/>
          <w:noProof w:val="0"/>
          <w:u w:val="single"/>
          <w:rtl/>
        </w:rPr>
        <w:t>ככלל בנסיבות בהן אדם נפגש עם שוטר המבקש לערוך חיפוש על גופו, בכליו או בביתו [...] אותו אדם עשוי לסבור כי סירוב להסכים לביצוע החיפוש עלול להביא לעיכובו או למעצרו ולמצער לעורר חשד נגדו. הסכמה שניתנת בנסיבות אלה, שמשמעותה היא ויתור על הזכות החוקתית לפרטיות [...] איננה הסכמה מדעת; שכן היא אינה מבטאת בחירה אמיתית ואוטונומית של האזרח לוותר על זכויותיו"</w:t>
      </w:r>
      <w:r w:rsidRPr="00A41FC0">
        <w:rPr>
          <w:b/>
          <w:bCs/>
          <w:noProof w:val="0"/>
          <w:rtl/>
        </w:rPr>
        <w:t>); [.....]</w:t>
      </w:r>
    </w:p>
    <w:p w:rsidR="00DD1BCD" w:rsidRPr="00A41FC0" w:rsidRDefault="00DD1BCD" w:rsidP="00DD1BCD">
      <w:pPr>
        <w:ind w:left="567" w:right="567"/>
        <w:contextualSpacing/>
        <w:jc w:val="both"/>
        <w:rPr>
          <w:b/>
          <w:bCs/>
          <w:noProof w:val="0"/>
          <w:rtl/>
        </w:rPr>
      </w:pPr>
      <w:r w:rsidRPr="00A41FC0">
        <w:rPr>
          <w:b/>
          <w:bCs/>
          <w:noProof w:val="0"/>
          <w:rtl/>
        </w:rPr>
        <w:t>112.</w:t>
      </w:r>
      <w:r w:rsidRPr="00A41FC0">
        <w:rPr>
          <w:b/>
          <w:bCs/>
          <w:noProof w:val="0"/>
          <w:u w:val="single"/>
          <w:rtl/>
        </w:rPr>
        <w:t>כבתחומי המשפט האחרים, כוחו של עקרון הבחירה החופשית – ובאומרנו כן כוונתנו לבחירה המשוחררת מלחצים בלתי סבירים – יפה גם ביחס להחלטת אדם לצאת את הארץ למדינה שבה נשקפת סכנה לחייו או לחירותו, וזאת אף ביתר שאת על רקע רגישות המאטריה שבה עסקינן. ואמנם, במדינות רבות בעולם רווחת הדעה כי לא כל החלטה עצמאית של אדם לצאת מן הארץ שאליה עשה את דרכו תחשב ליציאה "מרצון". על פי ועדת האו"ם למשפט בינלאומי, מדינה יכולה לגרש שוהה בלתי חוקי גם על דרך "הרחקה קונסטרוקטיבית</w:t>
      </w:r>
      <w:r w:rsidRPr="00A41FC0">
        <w:rPr>
          <w:b/>
          <w:bCs/>
          <w:noProof w:val="0"/>
          <w:rtl/>
        </w:rPr>
        <w:t>" (</w:t>
      </w:r>
      <w:r w:rsidRPr="00A41FC0">
        <w:rPr>
          <w:b/>
          <w:bCs/>
          <w:noProof w:val="0"/>
        </w:rPr>
        <w:t>Constructive Expulsion</w:t>
      </w:r>
      <w:r w:rsidRPr="00A41FC0">
        <w:rPr>
          <w:b/>
          <w:bCs/>
          <w:noProof w:val="0"/>
          <w:rtl/>
        </w:rPr>
        <w:t>) – באמצעות מעשי כפייה או איומים שניתן לייחסם למדינה, שאינם החלטה או צו רשמיים ..... ".</w:t>
      </w:r>
    </w:p>
    <w:p w:rsidR="00DD1BCD" w:rsidRPr="00A41FC0" w:rsidRDefault="00DD1BCD" w:rsidP="00DD1BCD">
      <w:pPr>
        <w:spacing w:line="360" w:lineRule="auto"/>
        <w:contextualSpacing/>
        <w:jc w:val="both"/>
        <w:rPr>
          <w:noProof w:val="0"/>
          <w:rtl/>
        </w:rPr>
      </w:pPr>
    </w:p>
    <w:p w:rsidR="00DD1BCD" w:rsidRPr="00A41FC0" w:rsidRDefault="00DD1BCD" w:rsidP="00DD1BCD">
      <w:pPr>
        <w:numPr>
          <w:ilvl w:val="0"/>
          <w:numId w:val="1"/>
        </w:numPr>
        <w:tabs>
          <w:tab w:val="left" w:pos="793"/>
        </w:tabs>
        <w:spacing w:before="240" w:line="360" w:lineRule="auto"/>
        <w:contextualSpacing/>
        <w:jc w:val="both"/>
        <w:rPr>
          <w:rFonts w:ascii="David" w:hAnsi="David"/>
          <w:rtl/>
          <w:lang w:eastAsia="he-IL"/>
        </w:rPr>
      </w:pPr>
      <w:r w:rsidRPr="00A41FC0">
        <w:rPr>
          <w:rFonts w:ascii="David" w:hAnsi="David"/>
          <w:b/>
          <w:bCs/>
          <w:rtl/>
          <w:lang w:eastAsia="he-IL"/>
        </w:rPr>
        <w:t>בעניין בן חיים</w:t>
      </w:r>
      <w:r w:rsidRPr="00A41FC0">
        <w:rPr>
          <w:rFonts w:ascii="David" w:hAnsi="David"/>
          <w:rtl/>
          <w:lang w:eastAsia="he-IL"/>
        </w:rPr>
        <w:t xml:space="preserve"> נימקה דעת הרוב את ההחלטה לאשר חיפוש לאחר הסכמה בכך שהשוטרים יבהירו לחשוד את זכויותיו לסרב לחיפוש, ויתעדו זאת. במקרה שלפניי, לא ברור כלל ועיקר מה נאמר למערערים או לאחרים במצבם,</w:t>
      </w:r>
      <w:r>
        <w:rPr>
          <w:rFonts w:ascii="David" w:hAnsi="David"/>
          <w:rtl/>
          <w:lang w:eastAsia="he-IL"/>
        </w:rPr>
        <w:t xml:space="preserve"> </w:t>
      </w:r>
      <w:r w:rsidRPr="00A41FC0">
        <w:rPr>
          <w:rFonts w:ascii="David" w:hAnsi="David"/>
          <w:rtl/>
          <w:lang w:eastAsia="he-IL"/>
        </w:rPr>
        <w:t>שכן קשה להניח כי הובהר להם בנועם ובמתינות כי הם מתבקשים למסור את הטלפונים שלהם לבדיקה, ואם יסרבו הדבר לא ישפיע על שקילת אישור הכניסה שלהם.</w:t>
      </w:r>
      <w:r w:rsidR="004403E5">
        <w:rPr>
          <w:rFonts w:ascii="David" w:hAnsi="David" w:hint="cs"/>
          <w:rtl/>
          <w:lang w:eastAsia="he-IL"/>
        </w:rPr>
        <w:t xml:space="preserve"> משהרשות אינה מתעדת את התשאולים (למעט במעין סיכום קצר של בקר.ית הגבול, אין להניח לטובתה כי מדובר היה בהסכמה כדין.</w:t>
      </w:r>
    </w:p>
    <w:p w:rsidR="00DD1BCD" w:rsidRPr="00A41FC0" w:rsidRDefault="00DD1BCD" w:rsidP="00DD1BCD">
      <w:pPr>
        <w:tabs>
          <w:tab w:val="left" w:pos="793"/>
        </w:tabs>
        <w:spacing w:line="360" w:lineRule="auto"/>
        <w:contextualSpacing/>
        <w:jc w:val="both"/>
        <w:rPr>
          <w:rFonts w:ascii="David" w:hAnsi="David"/>
          <w:rtl/>
          <w:lang w:eastAsia="he-IL"/>
        </w:rPr>
      </w:pPr>
    </w:p>
    <w:p w:rsidR="00DD1BCD" w:rsidRPr="00A41FC0" w:rsidRDefault="00DD1BCD" w:rsidP="00DD1BCD">
      <w:pPr>
        <w:numPr>
          <w:ilvl w:val="0"/>
          <w:numId w:val="1"/>
        </w:numPr>
        <w:tabs>
          <w:tab w:val="left" w:pos="793"/>
        </w:tabs>
        <w:spacing w:before="240" w:line="360" w:lineRule="auto"/>
        <w:contextualSpacing/>
        <w:jc w:val="both"/>
        <w:rPr>
          <w:rFonts w:ascii="David" w:hAnsi="David"/>
          <w:rtl/>
          <w:lang w:eastAsia="he-IL"/>
        </w:rPr>
      </w:pPr>
      <w:r w:rsidRPr="00A41FC0">
        <w:rPr>
          <w:rFonts w:ascii="David" w:hAnsi="David"/>
          <w:rtl/>
          <w:lang w:eastAsia="he-IL"/>
        </w:rPr>
        <w:t xml:space="preserve">בעע"ם 9890/09 </w:t>
      </w:r>
      <w:r w:rsidRPr="00A41FC0">
        <w:rPr>
          <w:rFonts w:ascii="David" w:hAnsi="David"/>
          <w:b/>
          <w:bCs/>
          <w:rtl/>
          <w:lang w:eastAsia="he-IL"/>
        </w:rPr>
        <w:t>נוואה נ' משרד הפנים</w:t>
      </w:r>
      <w:r w:rsidRPr="00A41FC0">
        <w:rPr>
          <w:rFonts w:ascii="David" w:hAnsi="David"/>
          <w:rtl/>
          <w:lang w:eastAsia="he-IL"/>
        </w:rPr>
        <w:t>, פסקה 16 (נבו, 11.7.2013) נדון עניינו של שוהה בלתי חוקי ש"בחר", כך לטענת הרשות באותו עניין, לצאת מהארץ מ"רצונו החופשי" ולהותיר מאחור את אשתו וילדיו. בית המשפט העליון קבע לעניין זה כי "</w:t>
      </w:r>
      <w:r w:rsidRPr="00A41FC0">
        <w:rPr>
          <w:rFonts w:ascii="David" w:hAnsi="David"/>
          <w:b/>
          <w:bCs/>
          <w:rtl/>
          <w:lang w:eastAsia="he-IL"/>
        </w:rPr>
        <w:t>קשה לייחס 'בחירה מודעת' – חופשית ומרצון – למי מאותם אנשים, אשר לאחר שהייה (בלתי חוקית) ארוכה בישראל, שבמהלכה אף הקימו בארץ משפחה, העדיפו לצאת ממנה, מבלי שיינקטו נגדם הליכי משמורת והרחקה קשים, תוך שהם מותירים בני משפחה אחרים מאחור. המציאות הנורמטיבית ששררה בישראל [...] שוללת לכאורה את המסקנה בדבר עזיבת הארץ מרצון</w:t>
      </w:r>
      <w:r w:rsidRPr="00A41FC0">
        <w:rPr>
          <w:rFonts w:ascii="David" w:hAnsi="David"/>
          <w:rtl/>
          <w:lang w:eastAsia="he-IL"/>
        </w:rPr>
        <w:t xml:space="preserve">". </w:t>
      </w:r>
    </w:p>
    <w:p w:rsidR="00DD1BCD" w:rsidRPr="00A41FC0" w:rsidRDefault="00DD1BCD" w:rsidP="00DD1BCD">
      <w:pPr>
        <w:tabs>
          <w:tab w:val="left" w:pos="793"/>
        </w:tabs>
        <w:spacing w:line="360" w:lineRule="auto"/>
        <w:contextualSpacing/>
        <w:jc w:val="both"/>
        <w:rPr>
          <w:rFonts w:ascii="David" w:hAnsi="David"/>
          <w:rtl/>
          <w:lang w:eastAsia="he-IL"/>
        </w:rPr>
      </w:pPr>
    </w:p>
    <w:p w:rsidR="00DD1BCD" w:rsidRPr="00A41FC0" w:rsidRDefault="00DD1BCD" w:rsidP="00DD1BCD">
      <w:pPr>
        <w:numPr>
          <w:ilvl w:val="0"/>
          <w:numId w:val="1"/>
        </w:numPr>
        <w:tabs>
          <w:tab w:val="left" w:pos="793"/>
        </w:tabs>
        <w:spacing w:before="240" w:line="360" w:lineRule="auto"/>
        <w:contextualSpacing/>
        <w:jc w:val="both"/>
        <w:rPr>
          <w:rFonts w:ascii="David" w:hAnsi="David"/>
          <w:rtl/>
          <w:lang w:eastAsia="he-IL"/>
        </w:rPr>
      </w:pPr>
      <w:r w:rsidRPr="00743298">
        <w:rPr>
          <w:rFonts w:ascii="David" w:hAnsi="David"/>
          <w:b/>
          <w:bCs/>
          <w:rtl/>
          <w:lang w:eastAsia="he-IL"/>
        </w:rPr>
        <w:t>בירנהק, פרטיות</w:t>
      </w:r>
      <w:r w:rsidRPr="00A41FC0">
        <w:rPr>
          <w:rFonts w:ascii="David" w:hAnsi="David"/>
          <w:b/>
          <w:bCs/>
          <w:rtl/>
          <w:lang w:eastAsia="he-IL"/>
        </w:rPr>
        <w:t xml:space="preserve"> חוקתית</w:t>
      </w:r>
      <w:r w:rsidRPr="00A41FC0">
        <w:rPr>
          <w:rFonts w:ascii="David" w:hAnsi="David"/>
          <w:rtl/>
          <w:lang w:eastAsia="he-IL"/>
        </w:rPr>
        <w:t xml:space="preserve">, מבקר את העדרם של חקיקה ייעודית ונהלים להסדרה והבהרה של תכלית איסוף המידע, והאמצעים המידתיים בקשר לשימוש בו, משום שבנסיבות שבהן תיירים וזרים אחרים מתמודדים עם הפרה מתמשכת של זכותם לפרטיות על-ידי המדינה, אף אם ניתנה על ידם הסכמה ראשונית שהכשירה את איסוף המידע (ופעמים רבות עצם ההסכמה שנויה במחלוקת), אין היא מכשירה את כל השימושים שהמדינה עושה בו ללא מגבלות. בתוך כך, הוא עומד גם על החשש כי ההסכמה למסירת המידע לוויתור על הפרטיות עלולה להינתן שלא מרצון </w:t>
      </w:r>
      <w:r w:rsidRPr="00A41FC0">
        <w:rPr>
          <w:rFonts w:ascii="David" w:hAnsi="David"/>
          <w:rtl/>
          <w:lang w:eastAsia="he-IL"/>
        </w:rPr>
        <w:lastRenderedPageBreak/>
        <w:t xml:space="preserve">חופשי, במיוחד טרם הכניסה לישראל והיווצרות זיקה למדינה, בשל פערי הכוח בין המדינה לבין המבקשים להיכנס אליה מבלי שיש להם זכות קנויה לכך (שם, 292-303). </w:t>
      </w:r>
    </w:p>
    <w:p w:rsidR="00DD1BCD" w:rsidRPr="00A41FC0" w:rsidRDefault="00DD1BCD" w:rsidP="00DD1BCD">
      <w:pPr>
        <w:tabs>
          <w:tab w:val="left" w:pos="793"/>
        </w:tabs>
        <w:spacing w:line="360" w:lineRule="auto"/>
        <w:contextualSpacing/>
        <w:jc w:val="both"/>
        <w:rPr>
          <w:rFonts w:ascii="David" w:hAnsi="David"/>
          <w:lang w:eastAsia="he-IL"/>
        </w:rPr>
      </w:pPr>
    </w:p>
    <w:p w:rsidR="00DD1BCD" w:rsidRPr="00A41FC0" w:rsidRDefault="00DD1BCD" w:rsidP="004403E5">
      <w:pPr>
        <w:numPr>
          <w:ilvl w:val="0"/>
          <w:numId w:val="1"/>
        </w:numPr>
        <w:tabs>
          <w:tab w:val="left" w:pos="793"/>
        </w:tabs>
        <w:spacing w:before="240" w:line="360" w:lineRule="auto"/>
        <w:contextualSpacing/>
        <w:jc w:val="both"/>
        <w:rPr>
          <w:rFonts w:ascii="David" w:hAnsi="David"/>
          <w:rtl/>
          <w:lang w:eastAsia="he-IL"/>
        </w:rPr>
      </w:pPr>
      <w:r w:rsidRPr="00A41FC0">
        <w:rPr>
          <w:rFonts w:ascii="David" w:hAnsi="David"/>
          <w:rtl/>
          <w:lang w:eastAsia="he-IL"/>
        </w:rPr>
        <w:t xml:space="preserve">על כן, גם </w:t>
      </w:r>
      <w:r w:rsidR="004403E5">
        <w:rPr>
          <w:rFonts w:ascii="David" w:hAnsi="David" w:hint="cs"/>
          <w:rtl/>
          <w:lang w:eastAsia="he-IL"/>
        </w:rPr>
        <w:t>לו הייתי מקבלת</w:t>
      </w:r>
      <w:r w:rsidRPr="00A41FC0">
        <w:rPr>
          <w:rFonts w:ascii="David" w:hAnsi="David"/>
          <w:rtl/>
          <w:lang w:eastAsia="he-IL"/>
        </w:rPr>
        <w:t xml:space="preserve"> את טענת הרשות כי המערערת</w:t>
      </w:r>
      <w:r>
        <w:rPr>
          <w:rFonts w:ascii="David" w:hAnsi="David"/>
          <w:rtl/>
          <w:lang w:eastAsia="he-IL"/>
        </w:rPr>
        <w:t xml:space="preserve"> </w:t>
      </w:r>
      <w:r w:rsidRPr="00A41FC0">
        <w:rPr>
          <w:rFonts w:ascii="David" w:hAnsi="David"/>
          <w:rtl/>
          <w:lang w:eastAsia="he-IL"/>
        </w:rPr>
        <w:t xml:space="preserve">הסכימה לתת את הטלפון </w:t>
      </w:r>
      <w:r w:rsidR="00100F6D">
        <w:rPr>
          <w:rFonts w:ascii="David" w:hAnsi="David" w:hint="cs"/>
          <w:rtl/>
          <w:lang w:eastAsia="he-IL"/>
        </w:rPr>
        <w:t xml:space="preserve">הנייד </w:t>
      </w:r>
      <w:r w:rsidR="00100F6D">
        <w:rPr>
          <w:rFonts w:ascii="David" w:hAnsi="David"/>
          <w:rtl/>
          <w:lang w:eastAsia="he-IL"/>
        </w:rPr>
        <w:t>שלה</w:t>
      </w:r>
      <w:r w:rsidR="00100F6D">
        <w:rPr>
          <w:rFonts w:ascii="David" w:hAnsi="David" w:hint="cs"/>
          <w:rtl/>
          <w:lang w:eastAsia="he-IL"/>
        </w:rPr>
        <w:t xml:space="preserve"> לבקרית הגבול,</w:t>
      </w:r>
      <w:r w:rsidRPr="00A41FC0">
        <w:rPr>
          <w:rFonts w:ascii="David" w:hAnsi="David"/>
          <w:rtl/>
          <w:lang w:eastAsia="he-IL"/>
        </w:rPr>
        <w:t xml:space="preserve"> אין לראות בכך הסכמה מרצון. אולם, גם אם יהיה מי שיחשוב אחרת, ודאי שאין בכך הסכמה לעניין חיפוש בטלפון </w:t>
      </w:r>
      <w:r w:rsidR="00100F6D">
        <w:rPr>
          <w:rFonts w:ascii="David" w:hAnsi="David" w:hint="cs"/>
          <w:rtl/>
          <w:lang w:eastAsia="he-IL"/>
        </w:rPr>
        <w:t xml:space="preserve">הנייד על כל המידע האישי הפרטי הנכלל בו, </w:t>
      </w:r>
      <w:r w:rsidRPr="00A41FC0">
        <w:rPr>
          <w:rFonts w:ascii="David" w:hAnsi="David"/>
          <w:rtl/>
          <w:lang w:eastAsia="he-IL"/>
        </w:rPr>
        <w:t>ללא כל מגבלות על ידי בקרי הגבול.</w:t>
      </w:r>
    </w:p>
    <w:p w:rsidR="00DD1BCD" w:rsidRPr="00A41FC0" w:rsidRDefault="00DD1BCD" w:rsidP="00DD1BCD">
      <w:pPr>
        <w:spacing w:before="240"/>
        <w:ind w:left="720"/>
        <w:contextualSpacing/>
        <w:jc w:val="both"/>
        <w:rPr>
          <w:rFonts w:ascii="David" w:hAnsi="David"/>
          <w:lang w:eastAsia="he-IL"/>
        </w:rPr>
      </w:pPr>
    </w:p>
    <w:p w:rsidR="00DD1BCD" w:rsidRPr="00A41FC0" w:rsidRDefault="00DD1BCD" w:rsidP="00DD1BCD">
      <w:pPr>
        <w:tabs>
          <w:tab w:val="left" w:pos="793"/>
        </w:tabs>
        <w:spacing w:line="360" w:lineRule="auto"/>
        <w:contextualSpacing/>
        <w:jc w:val="both"/>
        <w:rPr>
          <w:rFonts w:ascii="David" w:hAnsi="David"/>
          <w:rtl/>
          <w:lang w:eastAsia="he-IL"/>
        </w:rPr>
      </w:pPr>
      <w:r w:rsidRPr="00A41FC0">
        <w:rPr>
          <w:rFonts w:ascii="David" w:hAnsi="David"/>
          <w:rtl/>
          <w:lang w:eastAsia="he-IL"/>
        </w:rPr>
        <w:t>מכל מקום טוב תעשה הרשות אם תתעד את התשאולים באופן דיגיטלי, בהקלטת קול ותמונה ולכל הפחות ברישום מלא של כל השאלות והתשובות, להבדיל מסיכום חלקי של הנאמר.</w:t>
      </w:r>
    </w:p>
    <w:p w:rsidR="00A41FC0" w:rsidRPr="00627CBA" w:rsidRDefault="00A41FC0" w:rsidP="00E439FA">
      <w:pPr>
        <w:pStyle w:val="ad"/>
        <w:numPr>
          <w:ilvl w:val="0"/>
          <w:numId w:val="1"/>
        </w:numPr>
        <w:tabs>
          <w:tab w:val="left" w:pos="793"/>
        </w:tabs>
        <w:spacing w:before="240" w:line="360" w:lineRule="auto"/>
        <w:jc w:val="both"/>
        <w:rPr>
          <w:rFonts w:ascii="David" w:hAnsi="David"/>
          <w:sz w:val="26"/>
          <w:szCs w:val="26"/>
          <w:lang w:eastAsia="he-IL"/>
        </w:rPr>
      </w:pPr>
      <w:r w:rsidRPr="00627CBA">
        <w:rPr>
          <w:rFonts w:ascii="David" w:hAnsi="David"/>
          <w:b/>
          <w:bCs/>
          <w:sz w:val="26"/>
          <w:szCs w:val="26"/>
          <w:rtl/>
          <w:lang w:eastAsia="he-IL"/>
        </w:rPr>
        <w:t>בהעדר כל חוק ונוהל המסדיר זאת – אין סמכות לבקרי הגבול ולכל נציג אחר של הרשות לבצע חיפוש במכשירים ניידים – מחשבים וטלפונים כאחד</w:t>
      </w:r>
      <w:r w:rsidR="00627CBA">
        <w:rPr>
          <w:rFonts w:ascii="David" w:hAnsi="David" w:hint="cs"/>
          <w:b/>
          <w:bCs/>
          <w:sz w:val="26"/>
          <w:szCs w:val="26"/>
          <w:rtl/>
          <w:lang w:eastAsia="he-IL"/>
        </w:rPr>
        <w:t xml:space="preserve"> של המבקשים להיכנס לישראל</w:t>
      </w:r>
      <w:r w:rsidRPr="00627CBA">
        <w:rPr>
          <w:rFonts w:ascii="David" w:hAnsi="David"/>
          <w:sz w:val="26"/>
          <w:szCs w:val="26"/>
          <w:rtl/>
          <w:lang w:eastAsia="he-IL"/>
        </w:rPr>
        <w:t xml:space="preserve">. </w:t>
      </w:r>
    </w:p>
    <w:p w:rsidR="00A41FC0" w:rsidRPr="00A41FC0" w:rsidRDefault="00A41FC0" w:rsidP="00A41FC0">
      <w:pPr>
        <w:numPr>
          <w:ilvl w:val="0"/>
          <w:numId w:val="1"/>
        </w:numPr>
        <w:tabs>
          <w:tab w:val="left" w:pos="793"/>
        </w:tabs>
        <w:spacing w:before="240" w:line="360" w:lineRule="auto"/>
        <w:contextualSpacing/>
        <w:jc w:val="both"/>
        <w:rPr>
          <w:rFonts w:ascii="David" w:hAnsi="David"/>
          <w:rtl/>
          <w:lang w:eastAsia="he-IL"/>
        </w:rPr>
      </w:pPr>
      <w:r w:rsidRPr="00A41FC0">
        <w:rPr>
          <w:rFonts w:ascii="David" w:hAnsi="David"/>
          <w:rtl/>
          <w:lang w:eastAsia="he-IL"/>
        </w:rPr>
        <w:t>במקרים כמו זה שלפניי, פערי הכוחות בין הרשות לבין הפונים אליה ומבקשים להיכנס לישראל, גדולים אף יותר מאשר לגבי אזרחי המדינה, שכן מעמדם של זרים אינו מקנה להם זכות כניסה, ושיקול הדעת של שר הפנים לסרב לבקשתם רחב ביותר. מנגד עומדים אינטרסים וזכויות של הפרט אשר על רשויות השלטון לנהוג בהם בכבוד ובזהירות הן מכח חובות הרשות כשלעצמן, הן מכוחה של הפרטיות החוקתית והחובה לכבדה ע"י הרשויות, הן מכח חובות המדינה במשפט הבינלאומי. הפחתת משקלם של אינטרסים אלה וזלזול בהם ובנזק הנגרם להם מסרוב הכניסה, כפי שנעשה בעניין שלפניי על ידי בית הדין לעררים בקביעתו "</w:t>
      </w:r>
      <w:r w:rsidRPr="00A41FC0">
        <w:rPr>
          <w:rFonts w:ascii="David" w:hAnsi="David"/>
          <w:b/>
          <w:bCs/>
          <w:rtl/>
          <w:lang w:eastAsia="he-IL"/>
        </w:rPr>
        <w:t>מעבר לעגמת הנפש הזמנית הכרוכה מטיבה בהעדר המפגש בימים אלו עם קרובי משפחתם בישראל לצורך חגיגות השנה האזרחית החדשה על ידם</w:t>
      </w:r>
      <w:r w:rsidRPr="00A41FC0">
        <w:rPr>
          <w:rFonts w:ascii="David" w:hAnsi="David"/>
          <w:rtl/>
          <w:lang w:eastAsia="he-IL"/>
        </w:rPr>
        <w:t>" – אינם ראויים.</w:t>
      </w:r>
    </w:p>
    <w:p w:rsidR="00A41FC0" w:rsidRPr="00A41FC0" w:rsidRDefault="00A41FC0" w:rsidP="00A41FC0">
      <w:pPr>
        <w:spacing w:before="240"/>
        <w:ind w:left="720"/>
        <w:contextualSpacing/>
        <w:jc w:val="both"/>
        <w:rPr>
          <w:rFonts w:ascii="David" w:hAnsi="David"/>
          <w:rtl/>
          <w:lang w:eastAsia="he-IL"/>
        </w:rPr>
      </w:pPr>
    </w:p>
    <w:p w:rsidR="00A41FC0" w:rsidRPr="00A41FC0" w:rsidRDefault="00A41FC0" w:rsidP="00A41FC0">
      <w:pPr>
        <w:spacing w:before="240"/>
        <w:ind w:left="720"/>
        <w:contextualSpacing/>
        <w:jc w:val="both"/>
        <w:rPr>
          <w:rFonts w:ascii="David" w:hAnsi="David"/>
          <w:rtl/>
          <w:lang w:eastAsia="he-IL"/>
        </w:rPr>
      </w:pPr>
    </w:p>
    <w:p w:rsidR="00A41FC0" w:rsidRPr="00A41FC0" w:rsidRDefault="00A41FC0" w:rsidP="000C3718">
      <w:pPr>
        <w:numPr>
          <w:ilvl w:val="0"/>
          <w:numId w:val="1"/>
        </w:numPr>
        <w:tabs>
          <w:tab w:val="left" w:pos="793"/>
        </w:tabs>
        <w:spacing w:before="240" w:line="360" w:lineRule="auto"/>
        <w:contextualSpacing/>
        <w:jc w:val="both"/>
        <w:rPr>
          <w:rFonts w:ascii="David" w:eastAsia="Calibri" w:hAnsi="David"/>
          <w:b/>
          <w:bCs/>
          <w:rtl/>
          <w:lang w:eastAsia="he-IL"/>
        </w:rPr>
      </w:pPr>
      <w:r w:rsidRPr="00A41FC0">
        <w:rPr>
          <w:rFonts w:ascii="David" w:hAnsi="David"/>
          <w:b/>
          <w:bCs/>
          <w:rtl/>
          <w:lang w:eastAsia="he-IL"/>
        </w:rPr>
        <w:t xml:space="preserve">לסיכום, לאור כל האמור לעיל, </w:t>
      </w:r>
      <w:r w:rsidRPr="00A41FC0">
        <w:rPr>
          <w:rFonts w:ascii="David" w:hAnsi="David"/>
          <w:b/>
          <w:bCs/>
          <w:u w:val="single"/>
          <w:rtl/>
          <w:lang w:eastAsia="he-IL"/>
        </w:rPr>
        <w:t xml:space="preserve">בהעדר הסמכה בדין, החיפוש במכשירי טלפון ניידים של זרים המבקשים להיכנס לישראל אסור. </w:t>
      </w:r>
      <w:r w:rsidRPr="00A41FC0">
        <w:rPr>
          <w:rFonts w:ascii="David" w:eastAsia="Calibri" w:hAnsi="David"/>
          <w:b/>
          <w:bCs/>
          <w:u w:val="single"/>
          <w:rtl/>
          <w:lang w:eastAsia="he-IL"/>
        </w:rPr>
        <w:t xml:space="preserve">אין כל הסמכה לעובדי הרשות במעברי הגבול בכניסה לישראל לערוך חיפוש בטלפונים, גם במקרים בהם לטענת הרשות נמסר הטלפון לבקשת פקיד הרשות. לעניין זה אין חשיבות אם מדובר בתיירים, עובדים זרים, מבקשי מקלט או אחרים. עניינו אינו בזכויותיהם שלהם, אלא בסמכות הרשות. כאמור, לרשות אין סמכות אלא על פי חוק. בהעדר סמכות חל איסור מוחלט על </w:t>
      </w:r>
      <w:r w:rsidR="000C3718">
        <w:rPr>
          <w:rFonts w:ascii="David" w:eastAsia="Calibri" w:hAnsi="David" w:hint="cs"/>
          <w:b/>
          <w:bCs/>
          <w:u w:val="single"/>
          <w:rtl/>
          <w:lang w:eastAsia="he-IL"/>
        </w:rPr>
        <w:t>נציגי הרשות על תפקידיהם השונים, לרבות בקרי הגבול והמתשאלים, לקחת</w:t>
      </w:r>
      <w:r w:rsidRPr="00A41FC0">
        <w:rPr>
          <w:rFonts w:ascii="David" w:eastAsia="Calibri" w:hAnsi="David"/>
          <w:b/>
          <w:bCs/>
          <w:u w:val="single"/>
          <w:rtl/>
          <w:lang w:eastAsia="he-IL"/>
        </w:rPr>
        <w:t xml:space="preserve"> טלפונים</w:t>
      </w:r>
      <w:r w:rsidR="000C3718">
        <w:rPr>
          <w:rFonts w:ascii="David" w:eastAsia="Calibri" w:hAnsi="David" w:hint="cs"/>
          <w:b/>
          <w:bCs/>
          <w:u w:val="single"/>
          <w:rtl/>
          <w:lang w:eastAsia="he-IL"/>
        </w:rPr>
        <w:t xml:space="preserve"> ניידים מכל אדם </w:t>
      </w:r>
      <w:r w:rsidRPr="00A41FC0">
        <w:rPr>
          <w:rFonts w:ascii="David" w:eastAsia="Calibri" w:hAnsi="David"/>
          <w:b/>
          <w:bCs/>
          <w:u w:val="single"/>
          <w:rtl/>
          <w:lang w:eastAsia="he-IL"/>
        </w:rPr>
        <w:t xml:space="preserve"> וודאי על חיפוש בהם.</w:t>
      </w:r>
      <w:r w:rsidRPr="00A41FC0">
        <w:rPr>
          <w:rFonts w:ascii="David" w:eastAsia="Calibri" w:hAnsi="David"/>
          <w:b/>
          <w:bCs/>
          <w:rtl/>
          <w:lang w:eastAsia="he-IL"/>
        </w:rPr>
        <w:t xml:space="preserve"> </w:t>
      </w:r>
    </w:p>
    <w:p w:rsidR="00A41FC0" w:rsidRPr="00A41FC0" w:rsidRDefault="00A41FC0" w:rsidP="00A41FC0">
      <w:pPr>
        <w:spacing w:before="240"/>
        <w:ind w:left="720"/>
        <w:contextualSpacing/>
        <w:jc w:val="both"/>
        <w:rPr>
          <w:rFonts w:ascii="David" w:eastAsia="Calibri" w:hAnsi="David"/>
          <w:lang w:eastAsia="he-IL"/>
        </w:rPr>
      </w:pPr>
    </w:p>
    <w:p w:rsidR="00A41FC0" w:rsidRPr="00A41FC0" w:rsidRDefault="00A41FC0" w:rsidP="00A41FC0">
      <w:pPr>
        <w:tabs>
          <w:tab w:val="left" w:pos="793"/>
        </w:tabs>
        <w:spacing w:line="360" w:lineRule="auto"/>
        <w:contextualSpacing/>
        <w:jc w:val="both"/>
        <w:rPr>
          <w:rFonts w:ascii="David" w:eastAsia="Calibri" w:hAnsi="David"/>
          <w:b/>
          <w:bCs/>
          <w:u w:val="single"/>
          <w:rtl/>
          <w:lang w:eastAsia="he-IL"/>
        </w:rPr>
      </w:pPr>
      <w:r w:rsidRPr="00A41FC0">
        <w:rPr>
          <w:rFonts w:ascii="David" w:eastAsia="Calibri" w:hAnsi="David"/>
          <w:b/>
          <w:bCs/>
          <w:u w:val="single"/>
          <w:rtl/>
          <w:lang w:eastAsia="he-IL"/>
        </w:rPr>
        <w:t>כיון שהחובה לשמור על הזכות החוקתית לפרטיות מוטלת על הרשות ואינה נוגעת אך למקרה הפרטני שלפניי,</w:t>
      </w:r>
      <w:r w:rsidR="00FD6375">
        <w:rPr>
          <w:rFonts w:ascii="David" w:eastAsia="Calibri" w:hAnsi="David"/>
          <w:b/>
          <w:bCs/>
          <w:u w:val="single"/>
          <w:rtl/>
          <w:lang w:eastAsia="he-IL"/>
        </w:rPr>
        <w:t xml:space="preserve"> </w:t>
      </w:r>
      <w:r w:rsidRPr="00A41FC0">
        <w:rPr>
          <w:rFonts w:ascii="David" w:eastAsia="Calibri" w:hAnsi="David"/>
          <w:b/>
          <w:bCs/>
          <w:u w:val="single"/>
          <w:rtl/>
          <w:lang w:eastAsia="he-IL"/>
        </w:rPr>
        <w:t>הרשות תבהיר בדחיפות לכל בקרי הגבול כי אל להם לערוך חיפוש בטלפונים ניידים של אזרחים זרים המגיעים לישראל.</w:t>
      </w:r>
    </w:p>
    <w:p w:rsidR="00A41FC0" w:rsidRPr="00A41FC0" w:rsidRDefault="00A41FC0" w:rsidP="00A41FC0">
      <w:pPr>
        <w:tabs>
          <w:tab w:val="left" w:pos="793"/>
        </w:tabs>
        <w:spacing w:line="360" w:lineRule="auto"/>
        <w:contextualSpacing/>
        <w:jc w:val="both"/>
        <w:rPr>
          <w:rFonts w:ascii="David" w:hAnsi="David"/>
          <w:rtl/>
          <w:lang w:eastAsia="he-IL"/>
        </w:rPr>
      </w:pPr>
    </w:p>
    <w:p w:rsidR="00A41FC0" w:rsidRPr="00A41FC0" w:rsidRDefault="00A41FC0" w:rsidP="00627CBA">
      <w:pPr>
        <w:numPr>
          <w:ilvl w:val="0"/>
          <w:numId w:val="1"/>
        </w:numPr>
        <w:tabs>
          <w:tab w:val="left" w:pos="793"/>
        </w:tabs>
        <w:spacing w:before="240" w:line="360" w:lineRule="auto"/>
        <w:contextualSpacing/>
        <w:jc w:val="both"/>
        <w:rPr>
          <w:rFonts w:ascii="David" w:hAnsi="David"/>
          <w:rtl/>
          <w:lang w:eastAsia="he-IL"/>
        </w:rPr>
      </w:pPr>
      <w:r w:rsidRPr="00A41FC0">
        <w:rPr>
          <w:rFonts w:ascii="David" w:hAnsi="David"/>
          <w:rtl/>
          <w:lang w:eastAsia="he-IL"/>
        </w:rPr>
        <w:lastRenderedPageBreak/>
        <w:t>אשר לתוצאה במקרה שלפניי - החלטת הסרוב התקבלה תוך ייחוס משקל יתר למסרון יחיד שנשלח מאמה של המערערת, שנמצא בחיפוש הלא חוקי בטלפון הנייד שלה תוך פגיעה לא מידתית בזכויותיה לפרטיות ולכבוד האדם, והוצא מהקשרו תוך התעלמות מההסבר שנתנה לו בתשאול</w:t>
      </w:r>
      <w:r w:rsidR="00627CBA">
        <w:rPr>
          <w:rFonts w:ascii="David" w:hAnsi="David" w:hint="cs"/>
          <w:rtl/>
          <w:lang w:eastAsia="he-IL"/>
        </w:rPr>
        <w:t>.</w:t>
      </w:r>
      <w:r w:rsidRPr="00A41FC0">
        <w:rPr>
          <w:rFonts w:ascii="David" w:hAnsi="David"/>
          <w:rtl/>
          <w:lang w:eastAsia="he-IL"/>
        </w:rPr>
        <w:t xml:space="preserve"> </w:t>
      </w:r>
      <w:r w:rsidR="000C3718">
        <w:rPr>
          <w:rFonts w:ascii="David" w:hAnsi="David" w:hint="cs"/>
          <w:rtl/>
          <w:lang w:eastAsia="he-IL"/>
        </w:rPr>
        <w:t xml:space="preserve">על כן, </w:t>
      </w:r>
      <w:r w:rsidRPr="00A41FC0">
        <w:rPr>
          <w:rFonts w:ascii="David" w:hAnsi="David"/>
          <w:rtl/>
          <w:lang w:eastAsia="he-IL"/>
        </w:rPr>
        <w:t xml:space="preserve">יש מקום לפסול את החלטת הרשות, ועמה לבטל את פסק דינו של בית הדין לעררים שאישר החלטה זו, תוך התעלמות מטענות המערערים לעניין החיפוש הבלתי חוקי בטלפון </w:t>
      </w:r>
      <w:r w:rsidR="00335654">
        <w:rPr>
          <w:rFonts w:ascii="David" w:hAnsi="David" w:hint="cs"/>
          <w:rtl/>
          <w:lang w:eastAsia="he-IL"/>
        </w:rPr>
        <w:t>הנייד</w:t>
      </w:r>
      <w:r w:rsidRPr="00A41FC0">
        <w:rPr>
          <w:rFonts w:ascii="David" w:hAnsi="David"/>
          <w:rtl/>
          <w:lang w:eastAsia="he-IL"/>
        </w:rPr>
        <w:t xml:space="preserve"> של המערערת. </w:t>
      </w:r>
      <w:r w:rsidR="000C3718">
        <w:rPr>
          <w:rFonts w:ascii="David" w:hAnsi="David" w:hint="cs"/>
          <w:rtl/>
          <w:lang w:eastAsia="he-IL"/>
        </w:rPr>
        <w:t>אמנם, על פי הפסיקה הנוגעת להליך הפלילי, ניתן, בנסיבות מסוימות להכשיר ראיות שנגבו באמצעים פסולים. אולם,  במקרה זה ההפרה החמורה כל כך של הפרטיות החוקתית מזה, אל מול התועלת האפשרית של מניעת כניסה, לו אכן היו הדברים נכונים, אינה שקולה, ואין להתיר זאת, בוודאי ללא חקיקה מסמיכה.</w:t>
      </w:r>
    </w:p>
    <w:p w:rsidR="00A41FC0" w:rsidRPr="00A41FC0" w:rsidRDefault="00A41FC0" w:rsidP="00A41FC0">
      <w:pPr>
        <w:tabs>
          <w:tab w:val="left" w:pos="793"/>
        </w:tabs>
        <w:spacing w:line="360" w:lineRule="auto"/>
        <w:contextualSpacing/>
        <w:jc w:val="both"/>
        <w:rPr>
          <w:rFonts w:ascii="David" w:hAnsi="David"/>
          <w:rtl/>
          <w:lang w:eastAsia="he-IL"/>
        </w:rPr>
      </w:pPr>
    </w:p>
    <w:p w:rsidR="00A41FC0" w:rsidRPr="00A41FC0" w:rsidRDefault="00A41FC0" w:rsidP="00A41FC0">
      <w:pPr>
        <w:tabs>
          <w:tab w:val="left" w:pos="793"/>
        </w:tabs>
        <w:spacing w:line="360" w:lineRule="auto"/>
        <w:contextualSpacing/>
        <w:jc w:val="both"/>
        <w:rPr>
          <w:rFonts w:ascii="David" w:hAnsi="David"/>
          <w:rtl/>
          <w:lang w:eastAsia="he-IL"/>
        </w:rPr>
      </w:pPr>
      <w:r w:rsidRPr="00A41FC0">
        <w:rPr>
          <w:rFonts w:ascii="David" w:hAnsi="David"/>
          <w:rtl/>
          <w:lang w:eastAsia="he-IL"/>
        </w:rPr>
        <w:t>כיון שהמערערים עזבו את ישראל, ימחק כל רישום בדבר הסירוב ותוסר כל מניעה על כניסה עתידית שלהם לישראל.</w:t>
      </w:r>
    </w:p>
    <w:p w:rsidR="00A41FC0" w:rsidRDefault="00A41FC0" w:rsidP="00A41FC0">
      <w:pPr>
        <w:tabs>
          <w:tab w:val="left" w:pos="793"/>
        </w:tabs>
        <w:spacing w:line="360" w:lineRule="auto"/>
        <w:contextualSpacing/>
        <w:jc w:val="both"/>
        <w:rPr>
          <w:rFonts w:ascii="David" w:hAnsi="David"/>
          <w:rtl/>
          <w:lang w:eastAsia="he-IL"/>
        </w:rPr>
      </w:pPr>
    </w:p>
    <w:p w:rsidR="00A41FC0" w:rsidRPr="00A41FC0" w:rsidRDefault="00A41FC0" w:rsidP="00A41FC0">
      <w:pPr>
        <w:tabs>
          <w:tab w:val="left" w:pos="4861"/>
        </w:tabs>
        <w:spacing w:line="360" w:lineRule="auto"/>
        <w:ind w:left="-58"/>
        <w:contextualSpacing/>
        <w:jc w:val="both"/>
        <w:outlineLvl w:val="0"/>
        <w:rPr>
          <w:rFonts w:ascii="David" w:eastAsia="Calibri" w:hAnsi="David"/>
          <w:b/>
          <w:bCs/>
          <w:u w:val="single"/>
          <w:rtl/>
        </w:rPr>
      </w:pPr>
      <w:bookmarkStart w:id="4" w:name="_Toc139378136"/>
      <w:r w:rsidRPr="00A41FC0">
        <w:rPr>
          <w:rFonts w:ascii="David" w:eastAsia="Calibri" w:hAnsi="David" w:hint="cs"/>
          <w:b/>
          <w:bCs/>
          <w:u w:val="single"/>
          <w:rtl/>
        </w:rPr>
        <w:t>סוף דבר</w:t>
      </w:r>
      <w:bookmarkEnd w:id="4"/>
    </w:p>
    <w:p w:rsidR="000C3718" w:rsidRDefault="00A41FC0" w:rsidP="00E32EDA">
      <w:pPr>
        <w:spacing w:line="360" w:lineRule="auto"/>
        <w:contextualSpacing/>
        <w:jc w:val="both"/>
        <w:rPr>
          <w:rFonts w:ascii="Arial" w:hAnsi="Arial"/>
          <w:b/>
          <w:bCs/>
          <w:noProof w:val="0"/>
          <w:rtl/>
        </w:rPr>
      </w:pPr>
      <w:r w:rsidRPr="00A41FC0">
        <w:rPr>
          <w:rFonts w:ascii="Arial" w:hAnsi="Arial"/>
          <w:b/>
          <w:bCs/>
          <w:noProof w:val="0"/>
          <w:rtl/>
        </w:rPr>
        <w:t>הערעור מתקבל במלואו. פסק דינו של בית הדין לעררים מבוטל.</w:t>
      </w:r>
      <w:r w:rsidR="00E32EDA">
        <w:rPr>
          <w:rFonts w:ascii="Arial" w:hAnsi="Arial" w:hint="cs"/>
          <w:b/>
          <w:bCs/>
          <w:noProof w:val="0"/>
          <w:rtl/>
        </w:rPr>
        <w:t xml:space="preserve"> </w:t>
      </w:r>
    </w:p>
    <w:p w:rsidR="000C3718" w:rsidRDefault="000C3718" w:rsidP="00E32EDA">
      <w:pPr>
        <w:spacing w:line="360" w:lineRule="auto"/>
        <w:contextualSpacing/>
        <w:jc w:val="both"/>
        <w:rPr>
          <w:rFonts w:ascii="Arial" w:hAnsi="Arial"/>
          <w:b/>
          <w:bCs/>
          <w:noProof w:val="0"/>
          <w:rtl/>
        </w:rPr>
      </w:pPr>
    </w:p>
    <w:p w:rsidR="00E32EDA" w:rsidRPr="00A41FC0" w:rsidRDefault="00E32EDA" w:rsidP="00E32EDA">
      <w:pPr>
        <w:spacing w:line="360" w:lineRule="auto"/>
        <w:contextualSpacing/>
        <w:jc w:val="both"/>
        <w:rPr>
          <w:rFonts w:ascii="Arial" w:hAnsi="Arial"/>
          <w:b/>
          <w:bCs/>
          <w:noProof w:val="0"/>
          <w:rtl/>
        </w:rPr>
      </w:pPr>
      <w:r w:rsidRPr="00E32EDA">
        <w:rPr>
          <w:rFonts w:ascii="Arial" w:hAnsi="Arial" w:hint="cs"/>
          <w:b/>
          <w:bCs/>
          <w:noProof w:val="0"/>
          <w:rtl/>
        </w:rPr>
        <w:t>הרשות תבטל כל רישום הנוגע לסירובה לאפשר למערערים להיכנס לישראל, ותסיר כל מניעה לכניסה עתידית שלהם.</w:t>
      </w:r>
    </w:p>
    <w:p w:rsidR="00A41FC0" w:rsidRPr="00A41FC0" w:rsidRDefault="00A41FC0" w:rsidP="00A41FC0">
      <w:pPr>
        <w:tabs>
          <w:tab w:val="left" w:pos="793"/>
        </w:tabs>
        <w:spacing w:line="360" w:lineRule="auto"/>
        <w:contextualSpacing/>
        <w:jc w:val="both"/>
        <w:rPr>
          <w:rFonts w:ascii="David" w:hAnsi="David"/>
          <w:b/>
          <w:bCs/>
          <w:rtl/>
          <w:lang w:eastAsia="he-IL"/>
        </w:rPr>
      </w:pPr>
    </w:p>
    <w:p w:rsidR="00A41FC0" w:rsidRPr="00E32EDA" w:rsidRDefault="00A41FC0" w:rsidP="00335654">
      <w:pPr>
        <w:tabs>
          <w:tab w:val="left" w:pos="793"/>
        </w:tabs>
        <w:spacing w:line="360" w:lineRule="auto"/>
        <w:contextualSpacing/>
        <w:jc w:val="both"/>
        <w:rPr>
          <w:rFonts w:ascii="David" w:hAnsi="David"/>
          <w:b/>
          <w:bCs/>
          <w:rtl/>
          <w:lang w:eastAsia="he-IL"/>
        </w:rPr>
      </w:pPr>
      <w:r w:rsidRPr="00A41FC0">
        <w:rPr>
          <w:rFonts w:ascii="David" w:hAnsi="David"/>
          <w:b/>
          <w:bCs/>
          <w:rtl/>
          <w:lang w:eastAsia="he-IL"/>
        </w:rPr>
        <w:t xml:space="preserve">הרשות תבהיר בדחיפות לכל בעלי התפקידים בנקודות הגבול כי חל איסור על לקיחת טלפונים </w:t>
      </w:r>
      <w:r w:rsidR="00335654">
        <w:rPr>
          <w:rFonts w:ascii="David" w:hAnsi="David" w:hint="cs"/>
          <w:b/>
          <w:bCs/>
          <w:rtl/>
          <w:lang w:eastAsia="he-IL"/>
        </w:rPr>
        <w:t>ניידים</w:t>
      </w:r>
      <w:r w:rsidRPr="00A41FC0">
        <w:rPr>
          <w:rFonts w:ascii="David" w:hAnsi="David"/>
          <w:b/>
          <w:bCs/>
          <w:rtl/>
          <w:lang w:eastAsia="he-IL"/>
        </w:rPr>
        <w:t xml:space="preserve"> מהנכנסים לישראל וחיפוש בהם, גם במקרים בהם "מסכימים" המתושאלים לבקשת אנשי הרשות למסור את הטלפונים לצורך כך.</w:t>
      </w:r>
    </w:p>
    <w:p w:rsidR="00A41FC0" w:rsidRDefault="00A41FC0" w:rsidP="00A41FC0">
      <w:pPr>
        <w:spacing w:line="360" w:lineRule="auto"/>
        <w:contextualSpacing/>
        <w:jc w:val="both"/>
        <w:rPr>
          <w:rFonts w:ascii="Arial" w:hAnsi="Arial"/>
          <w:noProof w:val="0"/>
          <w:rtl/>
        </w:rPr>
      </w:pPr>
    </w:p>
    <w:p w:rsidR="00E32EDA" w:rsidRPr="00A41FC0" w:rsidRDefault="00E32EDA" w:rsidP="00A41FC0">
      <w:pPr>
        <w:spacing w:line="360" w:lineRule="auto"/>
        <w:contextualSpacing/>
        <w:jc w:val="both"/>
        <w:rPr>
          <w:rFonts w:ascii="Arial" w:hAnsi="Arial"/>
          <w:b/>
          <w:bCs/>
          <w:noProof w:val="0"/>
          <w:rtl/>
        </w:rPr>
      </w:pPr>
      <w:r w:rsidRPr="00E32EDA">
        <w:rPr>
          <w:rFonts w:ascii="Arial" w:hAnsi="Arial" w:hint="cs"/>
          <w:b/>
          <w:bCs/>
          <w:noProof w:val="0"/>
          <w:rtl/>
        </w:rPr>
        <w:t>הרשות תישא בהוצאות המערערים ושכ"ט עו"ד בסכום של 15,000 שקלים</w:t>
      </w:r>
    </w:p>
    <w:p w:rsidR="00694556" w:rsidRDefault="00694556">
      <w:pPr>
        <w:spacing w:line="360" w:lineRule="auto"/>
        <w:jc w:val="both"/>
        <w:rPr>
          <w:rFonts w:ascii="Arial" w:hAnsi="Arial"/>
          <w:noProof w:val="0"/>
          <w:rtl/>
        </w:rPr>
      </w:pPr>
    </w:p>
    <w:p w:rsidR="00694556" w:rsidRDefault="00005C8B" w:rsidP="000C3718">
      <w:pPr>
        <w:spacing w:line="360" w:lineRule="auto"/>
        <w:jc w:val="both"/>
        <w:rPr>
          <w:rFonts w:ascii="Arial" w:hAnsi="Arial"/>
          <w:noProof w:val="0"/>
          <w:rtl/>
        </w:rPr>
      </w:pPr>
      <w:r>
        <w:rPr>
          <w:rFonts w:ascii="Arial" w:hAnsi="Arial"/>
          <w:noProof w:val="0"/>
          <w:rtl/>
        </w:rPr>
        <w:t>ניתן</w:t>
      </w:r>
      <w:r w:rsidR="00E32EDA">
        <w:rPr>
          <w:rFonts w:ascii="Arial" w:hAnsi="Arial" w:hint="cs"/>
          <w:noProof w:val="0"/>
          <w:rtl/>
        </w:rPr>
        <w:t xml:space="preserve"> והודע לצדדים</w:t>
      </w:r>
      <w:r>
        <w:rPr>
          <w:rFonts w:ascii="Arial" w:hAnsi="Arial"/>
          <w:noProof w:val="0"/>
          <w:rtl/>
        </w:rPr>
        <w:t xml:space="preserve"> היום,</w:t>
      </w:r>
      <w:r w:rsidR="00FD6375">
        <w:rPr>
          <w:rFonts w:ascii="Arial" w:hAnsi="Arial"/>
          <w:noProof w:val="0"/>
          <w:rtl/>
        </w:rPr>
        <w:t xml:space="preserve"> </w:t>
      </w:r>
      <w:sdt>
        <w:sdtPr>
          <w:rPr>
            <w:rtl/>
          </w:rPr>
          <w:alias w:val="1455"/>
          <w:tag w:val="1455"/>
          <w:id w:val="242217728"/>
          <w:text w:multiLine="1"/>
        </w:sdtPr>
        <w:sdtEndPr/>
        <w:sdtContent>
          <w:r>
            <w:rPr>
              <w:rFonts w:ascii="Arial" w:hAnsi="Arial"/>
              <w:noProof w:val="0"/>
              <w:rtl/>
            </w:rPr>
            <w:t>כ"ב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11 יולי 2023</w:t>
          </w:r>
        </w:sdtContent>
      </w:sdt>
      <w:r>
        <w:rPr>
          <w:rFonts w:ascii="Arial" w:hAnsi="Arial"/>
          <w:noProof w:val="0"/>
          <w:rtl/>
        </w:rPr>
        <w:t>.</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84D67" w:rsidP="00633C4F">
      <w:pPr>
        <w:spacing w:line="360" w:lineRule="auto"/>
        <w:ind w:left="3600" w:firstLine="720"/>
      </w:pPr>
      <w:sdt>
        <w:sdtPr>
          <w:rPr>
            <w:rtl/>
          </w:rPr>
          <w:alias w:val="MergeField"/>
          <w:tag w:val="1237"/>
          <w:id w:val="1418591011"/>
        </w:sdtPr>
        <w:sdtEndPr/>
        <w:sdtContent>
          <w:r w:rsidR="00435BDF">
            <w:drawing>
              <wp:inline distT="0" distB="0" distL="0" distR="0" wp14:editId="50D07946">
                <wp:extent cx="1412748" cy="9006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12748" cy="900684"/>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6B5553">
      <w:headerReference w:type="default" r:id="rId9"/>
      <w:footerReference w:type="default" r:id="rId10"/>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D67" w:rsidRDefault="00E84D67">
      <w:r>
        <w:separator/>
      </w:r>
    </w:p>
  </w:endnote>
  <w:endnote w:type="continuationSeparator" w:id="0">
    <w:p w:rsidR="00E84D67" w:rsidRDefault="00E84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04A9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04A9D">
      <w:rPr>
        <w:rStyle w:val="ab"/>
        <w:rtl/>
      </w:rPr>
      <w:t>23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D67" w:rsidRDefault="00E84D67">
      <w:r>
        <w:separator/>
      </w:r>
    </w:p>
  </w:footnote>
  <w:footnote w:type="continuationSeparator" w:id="0">
    <w:p w:rsidR="00E84D67" w:rsidRDefault="00E84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24"/>
      <w:gridCol w:w="4778"/>
      <w:gridCol w:w="3446"/>
      <w:gridCol w:w="24"/>
    </w:tblGrid>
    <w:tr w:rsidR="00694556" w:rsidTr="00A41FC0">
      <w:trPr>
        <w:gridAfter w:val="1"/>
        <w:wAfter w:w="24" w:type="dxa"/>
        <w:trHeight w:hRule="exact" w:val="380"/>
        <w:jc w:val="center"/>
      </w:trPr>
      <w:sdt>
        <w:sdtPr>
          <w:rPr>
            <w:sz w:val="32"/>
            <w:szCs w:val="32"/>
            <w:rtl/>
          </w:rPr>
          <w:alias w:val="1174"/>
          <w:tag w:val="1174"/>
          <w:id w:val="-1775709220"/>
          <w:text/>
        </w:sdtPr>
        <w:sdtEndPr/>
        <w:sdtContent>
          <w:tc>
            <w:tcPr>
              <w:tcW w:w="8248" w:type="dxa"/>
              <w:gridSpan w:val="3"/>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משפט לעניינים מנהליים בתל אביב -יפו</w:t>
              </w:r>
            </w:p>
          </w:tc>
        </w:sdtContent>
      </w:sdt>
    </w:tr>
    <w:tr w:rsidR="00694556" w:rsidTr="00A41FC0">
      <w:trPr>
        <w:gridBefore w:val="1"/>
        <w:wBefore w:w="24" w:type="dxa"/>
        <w:trHeight w:val="191"/>
        <w:jc w:val="center"/>
      </w:trPr>
      <w:tc>
        <w:tcPr>
          <w:tcW w:w="4778" w:type="dxa"/>
        </w:tcPr>
        <w:p w:rsidR="00694556" w:rsidRDefault="00694556">
          <w:pPr>
            <w:rPr>
              <w:b/>
              <w:bCs/>
              <w:noProof w:val="0"/>
              <w:sz w:val="26"/>
              <w:szCs w:val="26"/>
              <w:rtl/>
            </w:rPr>
          </w:pPr>
        </w:p>
      </w:tc>
      <w:tc>
        <w:tcPr>
          <w:tcW w:w="3470" w:type="dxa"/>
          <w:gridSpan w:val="2"/>
        </w:tcPr>
        <w:p w:rsidR="00694556" w:rsidRDefault="00694556">
          <w:pPr>
            <w:pStyle w:val="a3"/>
            <w:jc w:val="right"/>
            <w:rPr>
              <w:b/>
              <w:bCs/>
              <w:noProof w:val="0"/>
              <w:sz w:val="26"/>
              <w:szCs w:val="26"/>
              <w:rtl/>
            </w:rPr>
          </w:pPr>
        </w:p>
      </w:tc>
    </w:tr>
    <w:tr w:rsidR="00694556" w:rsidRPr="00CD0055" w:rsidTr="00A41FC0">
      <w:trPr>
        <w:gridAfter w:val="1"/>
        <w:wAfter w:w="24" w:type="dxa"/>
        <w:trHeight w:val="191"/>
        <w:jc w:val="center"/>
      </w:trPr>
      <w:tc>
        <w:tcPr>
          <w:tcW w:w="8248" w:type="dxa"/>
          <w:gridSpan w:val="3"/>
        </w:tcPr>
        <w:p w:rsidR="00957C90" w:rsidRPr="00CD0055" w:rsidRDefault="00E84D67" w:rsidP="00A41FC0">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עמ"נ</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12780-01-23</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1B239B">
                <w:rPr>
                  <w:b/>
                  <w:bCs/>
                  <w:noProof w:val="0"/>
                  <w:sz w:val="26"/>
                  <w:szCs w:val="26"/>
                </w:rPr>
                <w:t xml:space="preserve"> </w:t>
              </w:r>
              <w:r w:rsidR="00A41FC0" w:rsidRPr="007A37DE">
                <w:rPr>
                  <w:b/>
                  <w:bCs/>
                  <w:noProof w:val="0"/>
                  <w:sz w:val="26"/>
                  <w:szCs w:val="26"/>
                </w:rPr>
                <w:t>Ilona &amp; Mykhailo Muzyehuk</w:t>
              </w:r>
              <w:r w:rsidR="00A41FC0">
                <w:rPr>
                  <w:b/>
                  <w:bCs/>
                  <w:noProof w:val="0"/>
                  <w:sz w:val="26"/>
                  <w:szCs w:val="26"/>
                </w:rPr>
                <w:t xml:space="preserve"> </w:t>
              </w:r>
              <w:r w:rsidR="00A41FC0">
                <w:rPr>
                  <w:b/>
                  <w:bCs/>
                  <w:noProof w:val="0"/>
                  <w:sz w:val="26"/>
                  <w:szCs w:val="26"/>
                  <w:rtl/>
                </w:rPr>
                <w:t xml:space="preserve">נ' רשות האוכלוסין ההגירה </w:t>
              </w:r>
            </w:sdtContent>
          </w:sdt>
        </w:p>
      </w:tc>
    </w:tr>
  </w:tbl>
  <w:p w:rsidR="00694556" w:rsidRPr="00CD0055" w:rsidRDefault="00694556">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B04DF"/>
    <w:multiLevelType w:val="multilevel"/>
    <w:tmpl w:val="9D287048"/>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458E5"/>
    <w:rsid w:val="000564AB"/>
    <w:rsid w:val="0008458B"/>
    <w:rsid w:val="000B2E97"/>
    <w:rsid w:val="000C3718"/>
    <w:rsid w:val="000C4853"/>
    <w:rsid w:val="000C73D3"/>
    <w:rsid w:val="000D4A02"/>
    <w:rsid w:val="000E6AEE"/>
    <w:rsid w:val="00100F6D"/>
    <w:rsid w:val="001051FD"/>
    <w:rsid w:val="001072A9"/>
    <w:rsid w:val="00121F97"/>
    <w:rsid w:val="0012532B"/>
    <w:rsid w:val="001277D7"/>
    <w:rsid w:val="00132017"/>
    <w:rsid w:val="0014234E"/>
    <w:rsid w:val="00145A87"/>
    <w:rsid w:val="00154463"/>
    <w:rsid w:val="00187099"/>
    <w:rsid w:val="001B239B"/>
    <w:rsid w:val="001B5DEC"/>
    <w:rsid w:val="001B7C4B"/>
    <w:rsid w:val="001C4003"/>
    <w:rsid w:val="001F5474"/>
    <w:rsid w:val="00202C47"/>
    <w:rsid w:val="00204A9D"/>
    <w:rsid w:val="0023309C"/>
    <w:rsid w:val="002352F7"/>
    <w:rsid w:val="00256CA3"/>
    <w:rsid w:val="0029232D"/>
    <w:rsid w:val="00295DD1"/>
    <w:rsid w:val="002D3FF2"/>
    <w:rsid w:val="00316792"/>
    <w:rsid w:val="00326BFD"/>
    <w:rsid w:val="00335654"/>
    <w:rsid w:val="003765EB"/>
    <w:rsid w:val="00381D3A"/>
    <w:rsid w:val="003823DA"/>
    <w:rsid w:val="0039012B"/>
    <w:rsid w:val="00391319"/>
    <w:rsid w:val="003A2CA1"/>
    <w:rsid w:val="003A376F"/>
    <w:rsid w:val="00410500"/>
    <w:rsid w:val="004114A5"/>
    <w:rsid w:val="00420DC4"/>
    <w:rsid w:val="0043595F"/>
    <w:rsid w:val="00435BDF"/>
    <w:rsid w:val="004403E5"/>
    <w:rsid w:val="00474A18"/>
    <w:rsid w:val="0047645A"/>
    <w:rsid w:val="0048448A"/>
    <w:rsid w:val="004925B4"/>
    <w:rsid w:val="004D49A3"/>
    <w:rsid w:val="004E6E3C"/>
    <w:rsid w:val="00506C0E"/>
    <w:rsid w:val="00510ADC"/>
    <w:rsid w:val="005124F1"/>
    <w:rsid w:val="0051350E"/>
    <w:rsid w:val="00530BAD"/>
    <w:rsid w:val="005403EF"/>
    <w:rsid w:val="00541598"/>
    <w:rsid w:val="00547DB7"/>
    <w:rsid w:val="00567324"/>
    <w:rsid w:val="00575872"/>
    <w:rsid w:val="005B0F49"/>
    <w:rsid w:val="005B6857"/>
    <w:rsid w:val="005C68BF"/>
    <w:rsid w:val="005C7EC6"/>
    <w:rsid w:val="005D4BDB"/>
    <w:rsid w:val="00622BAA"/>
    <w:rsid w:val="00625C89"/>
    <w:rsid w:val="00627CBA"/>
    <w:rsid w:val="00633C4F"/>
    <w:rsid w:val="00664D1C"/>
    <w:rsid w:val="00671BD5"/>
    <w:rsid w:val="006805C1"/>
    <w:rsid w:val="006816EC"/>
    <w:rsid w:val="00685610"/>
    <w:rsid w:val="00694556"/>
    <w:rsid w:val="00697B45"/>
    <w:rsid w:val="006B5553"/>
    <w:rsid w:val="006E1A53"/>
    <w:rsid w:val="007056AA"/>
    <w:rsid w:val="00720461"/>
    <w:rsid w:val="007236DA"/>
    <w:rsid w:val="00731FD5"/>
    <w:rsid w:val="00743298"/>
    <w:rsid w:val="00744F41"/>
    <w:rsid w:val="007A24FE"/>
    <w:rsid w:val="007A35AA"/>
    <w:rsid w:val="007B5284"/>
    <w:rsid w:val="007B646E"/>
    <w:rsid w:val="007D5BE3"/>
    <w:rsid w:val="007F1048"/>
    <w:rsid w:val="008020E5"/>
    <w:rsid w:val="0080577B"/>
    <w:rsid w:val="00820005"/>
    <w:rsid w:val="0083107C"/>
    <w:rsid w:val="00846D27"/>
    <w:rsid w:val="00856C94"/>
    <w:rsid w:val="008610A7"/>
    <w:rsid w:val="0089566C"/>
    <w:rsid w:val="0089678D"/>
    <w:rsid w:val="008B2E36"/>
    <w:rsid w:val="008B2F1E"/>
    <w:rsid w:val="008C2247"/>
    <w:rsid w:val="008C798B"/>
    <w:rsid w:val="008E1332"/>
    <w:rsid w:val="008F68B7"/>
    <w:rsid w:val="00903896"/>
    <w:rsid w:val="009249B7"/>
    <w:rsid w:val="00927813"/>
    <w:rsid w:val="0093776E"/>
    <w:rsid w:val="00944D13"/>
    <w:rsid w:val="00957C90"/>
    <w:rsid w:val="00962DAB"/>
    <w:rsid w:val="0097107B"/>
    <w:rsid w:val="00974C63"/>
    <w:rsid w:val="009B081F"/>
    <w:rsid w:val="009B1E8E"/>
    <w:rsid w:val="009D767D"/>
    <w:rsid w:val="009E0263"/>
    <w:rsid w:val="00A0260A"/>
    <w:rsid w:val="00A17AF1"/>
    <w:rsid w:val="00A267CF"/>
    <w:rsid w:val="00A41FC0"/>
    <w:rsid w:val="00A43458"/>
    <w:rsid w:val="00A4386B"/>
    <w:rsid w:val="00AA02A3"/>
    <w:rsid w:val="00AC4E19"/>
    <w:rsid w:val="00AF1ED6"/>
    <w:rsid w:val="00B10660"/>
    <w:rsid w:val="00B22CE1"/>
    <w:rsid w:val="00B32C61"/>
    <w:rsid w:val="00B368FE"/>
    <w:rsid w:val="00B80CBD"/>
    <w:rsid w:val="00B9485C"/>
    <w:rsid w:val="00BB37FD"/>
    <w:rsid w:val="00BC3369"/>
    <w:rsid w:val="00BF77EE"/>
    <w:rsid w:val="00C1473F"/>
    <w:rsid w:val="00C14EE8"/>
    <w:rsid w:val="00C32E0F"/>
    <w:rsid w:val="00C42BF9"/>
    <w:rsid w:val="00C61C46"/>
    <w:rsid w:val="00C70961"/>
    <w:rsid w:val="00C76FB5"/>
    <w:rsid w:val="00C83E56"/>
    <w:rsid w:val="00C92A7E"/>
    <w:rsid w:val="00CB0189"/>
    <w:rsid w:val="00CD0055"/>
    <w:rsid w:val="00D22D57"/>
    <w:rsid w:val="00D319B3"/>
    <w:rsid w:val="00D4550F"/>
    <w:rsid w:val="00D53924"/>
    <w:rsid w:val="00D60849"/>
    <w:rsid w:val="00D740E9"/>
    <w:rsid w:val="00D96D8C"/>
    <w:rsid w:val="00DB5F50"/>
    <w:rsid w:val="00DD1BCD"/>
    <w:rsid w:val="00DD337E"/>
    <w:rsid w:val="00E00B6F"/>
    <w:rsid w:val="00E17141"/>
    <w:rsid w:val="00E32EDA"/>
    <w:rsid w:val="00E4247F"/>
    <w:rsid w:val="00E439FA"/>
    <w:rsid w:val="00E50B33"/>
    <w:rsid w:val="00E54642"/>
    <w:rsid w:val="00E56AB4"/>
    <w:rsid w:val="00E84D67"/>
    <w:rsid w:val="00E97908"/>
    <w:rsid w:val="00EC7EF7"/>
    <w:rsid w:val="00EF3ED0"/>
    <w:rsid w:val="00EF43AB"/>
    <w:rsid w:val="00F078D0"/>
    <w:rsid w:val="00F17E56"/>
    <w:rsid w:val="00FC5C62"/>
    <w:rsid w:val="00FD6375"/>
    <w:rsid w:val="00FF2AB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A41FC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semiHidden/>
    <w:unhideWhenUsed/>
    <w:qFormat/>
    <w:rsid w:val="00A41FC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customStyle="1" w:styleId="10">
    <w:name w:val="כותרת 1 תו"/>
    <w:basedOn w:val="a0"/>
    <w:link w:val="1"/>
    <w:rsid w:val="00A41FC0"/>
    <w:rPr>
      <w:rFonts w:asciiTheme="majorHAnsi" w:eastAsiaTheme="majorEastAsia" w:hAnsiTheme="majorHAnsi" w:cstheme="majorBidi"/>
      <w:noProof/>
      <w:color w:val="365F91" w:themeColor="accent1" w:themeShade="BF"/>
      <w:sz w:val="32"/>
      <w:szCs w:val="32"/>
    </w:rPr>
  </w:style>
  <w:style w:type="character" w:customStyle="1" w:styleId="20">
    <w:name w:val="כותרת 2 תו"/>
    <w:basedOn w:val="a0"/>
    <w:link w:val="2"/>
    <w:semiHidden/>
    <w:rsid w:val="00A41FC0"/>
    <w:rPr>
      <w:rFonts w:asciiTheme="majorHAnsi" w:eastAsiaTheme="majorEastAsia" w:hAnsiTheme="majorHAnsi" w:cstheme="majorBidi"/>
      <w:noProof/>
      <w:color w:val="365F91" w:themeColor="accent1" w:themeShade="BF"/>
      <w:sz w:val="26"/>
      <w:szCs w:val="26"/>
    </w:rPr>
  </w:style>
  <w:style w:type="table" w:customStyle="1" w:styleId="12">
    <w:name w:val="רשת טבלה1"/>
    <w:basedOn w:val="a1"/>
    <w:next w:val="a9"/>
    <w:rsid w:val="00A41FC0"/>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E171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562707">
      <w:bodyDiv w:val="1"/>
      <w:marLeft w:val="0"/>
      <w:marRight w:val="0"/>
      <w:marTop w:val="0"/>
      <w:marBottom w:val="0"/>
      <w:divBdr>
        <w:top w:val="none" w:sz="0" w:space="0" w:color="auto"/>
        <w:left w:val="none" w:sz="0" w:space="0" w:color="auto"/>
        <w:bottom w:val="none" w:sz="0" w:space="0" w:color="auto"/>
        <w:right w:val="none" w:sz="0" w:space="0" w:color="auto"/>
      </w:divBdr>
    </w:div>
    <w:div w:id="104722310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581369"/>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8900</Words>
  <Characters>44502</Characters>
  <Application>Microsoft Office Word</Application>
  <DocSecurity>0</DocSecurity>
  <Lines>370</Lines>
  <Paragraphs>106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2023-07-10T04:37:00Z</cp:lastPrinted>
  <dcterms:created xsi:type="dcterms:W3CDTF">2023-07-16T10:38:00Z</dcterms:created>
  <dcterms:modified xsi:type="dcterms:W3CDTF">2023-07-16T10:38:00Z</dcterms:modified>
</cp:coreProperties>
</file>